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</w:p>
    <w:p>
      <w:pPr>
        <w:spacing w:afterLines="50" w:line="580" w:lineRule="exact"/>
        <w:jc w:val="center"/>
        <w:rPr>
          <w:rFonts w:hint="eastAsia" w:ascii="Calibri" w:hAnsi="Calibri" w:eastAsia="方正书宋简体"/>
          <w:b/>
          <w:bCs/>
          <w:sz w:val="44"/>
          <w:szCs w:val="44"/>
        </w:rPr>
      </w:pPr>
    </w:p>
    <w:p>
      <w:pPr>
        <w:spacing w:afterLines="50" w:line="580" w:lineRule="exact"/>
        <w:jc w:val="center"/>
        <w:rPr>
          <w:rFonts w:ascii="Calibri" w:hAnsi="Calibri" w:eastAsia="方正书宋简体"/>
          <w:b/>
          <w:bCs/>
          <w:sz w:val="44"/>
          <w:szCs w:val="44"/>
        </w:rPr>
      </w:pPr>
      <w:r>
        <w:rPr>
          <w:rFonts w:hint="eastAsia" w:ascii="Calibri" w:hAnsi="Calibri" w:eastAsia="方正书宋简体"/>
          <w:b/>
          <w:bCs/>
          <w:sz w:val="44"/>
          <w:szCs w:val="44"/>
        </w:rPr>
        <w:t>受理单位联系电话和材料接收地址</w:t>
      </w:r>
    </w:p>
    <w:tbl>
      <w:tblPr>
        <w:tblStyle w:val="3"/>
        <w:tblW w:w="94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126"/>
        <w:gridCol w:w="1418"/>
        <w:gridCol w:w="1222"/>
        <w:gridCol w:w="2122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所在部门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受理范围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绍兴市交通运输局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政治处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853388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07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市直单位申报对象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越城区凤林西路135号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36" w:rightChars="-17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柯桥区交通运输局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规划建设科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84130215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柯桥区申报对象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柯桥区越州大道210号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上虞区交通运输局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人事科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82180738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上虞区申报对象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上虞区称山北路交通大厦9楼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越城区建设和交通运输局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交通运输科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85148705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越城区申报对象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越城区延安东路481号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诸暨市交通运输局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党建室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89001996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诸暨市申报对象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诸暨市暨东路71号1005室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嵊州市交通运输局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人事教育科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83018326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嵊州市申报对象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嵊州市嵊州大道108号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28" w:rightChars="-6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新昌县交通运输局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人事教育科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86022723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8" w:rightChars="-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新昌县申报对象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新昌县七星街道鼓山西路650号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9E1582"/>
    <w:rsid w:val="294818F6"/>
    <w:rsid w:val="476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成豪</dc:creator>
  <cp:lastModifiedBy>sunset43</cp:lastModifiedBy>
  <dcterms:modified xsi:type="dcterms:W3CDTF">2021-08-23T10:24:23Z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