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textAlignment w:val="auto"/>
        <w:outlineLvl w:val="9"/>
        <w:rPr>
          <w:rFonts w:hint="default" w:ascii="Times New Roman" w:hAnsi="Times New Roman" w:eastAsia="宋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  <w:t>年度市级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  <w:lang w:eastAsia="zh-CN"/>
        </w:rPr>
        <w:t>新型研发机构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  <w:t>认定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  <w:lang w:eastAsia="zh-CN"/>
        </w:rPr>
        <w:t>（培育）</w:t>
      </w:r>
      <w:r>
        <w:rPr>
          <w:rFonts w:hint="default" w:ascii="Times New Roman" w:hAnsi="Times New Roman" w:eastAsia="方正小标宋简体" w:cs="Times New Roman"/>
          <w:spacing w:val="-20"/>
          <w:kern w:val="0"/>
          <w:sz w:val="44"/>
          <w:szCs w:val="44"/>
        </w:rPr>
        <w:t>名单</w:t>
      </w:r>
    </w:p>
    <w:bookmarkEnd w:id="0"/>
    <w:p>
      <w:pPr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认定名单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1.嵊州市浙江工业大学创新研究院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2.现代纺织技术创新中心（鉴湖实验室）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3.杭州电子科技大学上虞科学与工程研究院有限公司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4.浙江大东南锂电池隔膜研究院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5.天津大学浙江国际创新设计与智造研究院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培育名单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6.中纺院（浙江）技术研究院有限公司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7.科大绍兴新材料产业技术研究院</w:t>
      </w:r>
    </w:p>
    <w:p>
      <w:pPr>
        <w:pageBreakBefore w:val="0"/>
        <w:widowControl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snapToGrid/>
        <w:spacing w:line="58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F58BA"/>
    <w:multiLevelType w:val="singleLevel"/>
    <w:tmpl w:val="FF4F58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F4946"/>
    <w:rsid w:val="632F4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2022-12-20T06:28:00Z</dcterms:created>
  <dc:creator>阿玦</dc:creator>
  <cp:lastModifiedBy>阿玦</cp:lastModifiedBy>
  <dcterms:modified xsi:type="dcterms:W3CDTF">2022-12-20T06:29:14Z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FADBED2BFAC44B6FA193FE18290A0D81</vt:lpwstr>
  </property>
</Properties>
</file>