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00" w:lineRule="exact"/>
        <w:ind w:left="0" w:leftChars="0" w:right="0"/>
        <w:jc w:val="both"/>
        <w:textAlignment w:val="auto"/>
        <w:rPr>
          <w:rFonts w:hint="eastAsia"/>
          <w:bCs/>
          <w:sz w:val="44"/>
          <w:szCs w:val="44"/>
        </w:rPr>
      </w:pPr>
    </w:p>
    <w:p>
      <w:pPr>
        <w:widowControl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36"/>
          <w:szCs w:val="36"/>
        </w:rPr>
      </w:pPr>
    </w:p>
    <w:p>
      <w:pPr>
        <w:widowControl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绍兴市市级财政国库集中支付代理银行手续费计付管理办法》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政策解读</w:t>
      </w:r>
    </w:p>
    <w:p>
      <w:pPr>
        <w:widowControl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根据《绍兴市人民政府办公室关于做好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行政规范性文件政策解读工作的通知》（绍政办综〔2015〕22号）的有关要求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，现将市财政局印发的《绍兴市市级财政国库集中支付代理银行手续费计付管理办法》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（绍财预执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有关政策解读如下：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一、制定背景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绍兴市财政局于2017年制定了《绍兴市市级财政国库集中支付代理银行手续费计付管理暂行办法》（绍财预执〔2017〕7号）。</w:t>
      </w:r>
      <w:r>
        <w:rPr>
          <w:rFonts w:hint="eastAsia" w:ascii="仿宋_GB2312" w:eastAsia="仿宋_GB2312"/>
          <w:kern w:val="0"/>
          <w:sz w:val="32"/>
          <w:szCs w:val="32"/>
        </w:rPr>
        <w:t>为进一步规范和加强代理银行手续费计付管理，明确手续费的内容、标准和计付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方</w:t>
      </w:r>
      <w:r>
        <w:rPr>
          <w:rFonts w:hint="eastAsia" w:ascii="仿宋_GB2312" w:eastAsia="仿宋_GB2312"/>
          <w:kern w:val="0"/>
          <w:sz w:val="32"/>
          <w:szCs w:val="32"/>
        </w:rPr>
        <w:t>法，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根据市财政国库管理制度改革相关规定，</w:t>
      </w:r>
      <w:r>
        <w:rPr>
          <w:rFonts w:hint="eastAsia" w:ascii="仿宋_GB2312" w:eastAsia="仿宋_GB2312"/>
          <w:kern w:val="0"/>
          <w:sz w:val="32"/>
          <w:szCs w:val="32"/>
        </w:rPr>
        <w:t>参照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省财政厅</w:t>
      </w:r>
      <w:r>
        <w:rPr>
          <w:rFonts w:hint="eastAsia" w:ascii="仿宋_GB2312" w:eastAsia="仿宋_GB2312"/>
          <w:kern w:val="0"/>
          <w:sz w:val="32"/>
          <w:szCs w:val="32"/>
        </w:rPr>
        <w:t>《省级财政国库集中支付代理银行手续费计付管理办法》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浙财预执〔2018〕79号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kern w:val="0"/>
          <w:sz w:val="32"/>
          <w:szCs w:val="32"/>
        </w:rPr>
        <w:t>，结合我市实际，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市财政局对原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《绍兴市市级财政国库集中支付代理银行手续费计付管理办法》予以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重新修订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二、政策主要内容</w:t>
      </w:r>
    </w:p>
    <w:p>
      <w:pPr>
        <w:widowControl w:val="0"/>
        <w:wordWrap/>
        <w:adjustRightInd/>
        <w:snapToGrid/>
        <w:spacing w:line="500" w:lineRule="exact"/>
        <w:ind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新修订的《</w:t>
      </w:r>
      <w:r>
        <w:rPr>
          <w:rFonts w:hint="eastAsia" w:ascii="仿宋_GB2312" w:eastAsia="仿宋_GB2312"/>
          <w:kern w:val="0"/>
          <w:sz w:val="32"/>
          <w:szCs w:val="32"/>
        </w:rPr>
        <w:t>手续费计付管理办法》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15条，主要内容归纳如下：                                                     </w:t>
      </w:r>
    </w:p>
    <w:p>
      <w:pPr>
        <w:widowControl w:val="0"/>
        <w:wordWrap/>
        <w:adjustRightInd/>
        <w:snapToGrid/>
        <w:spacing w:line="500" w:lineRule="exact"/>
        <w:ind w:right="0" w:firstLine="640" w:firstLineChars="200"/>
        <w:jc w:val="lef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（一）</w:t>
      </w:r>
      <w:r>
        <w:rPr>
          <w:rFonts w:hint="default" w:ascii="仿宋_GB2312" w:eastAsia="仿宋_GB2312"/>
          <w:kern w:val="0"/>
          <w:sz w:val="32"/>
          <w:szCs w:val="32"/>
        </w:rPr>
        <w:t>明确了手续费支付的原则。按照代理银行年度代理的业务量和代理银行服务质量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kern w:val="0"/>
          <w:sz w:val="32"/>
          <w:szCs w:val="32"/>
        </w:rPr>
        <w:t>代理银行年度业务考核等次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kern w:val="0"/>
          <w:sz w:val="32"/>
          <w:szCs w:val="32"/>
        </w:rPr>
        <w:t>相结合的原则综合计算。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</w:rPr>
        <w:t>（二）明确了手续费支付的标准。代理银行手续费由两部分组成：一是按每笔正常支付业务量3.5元，二是按国库集中支付资金量×0.07‰。单笔支付手续费最高限额为200元，即对单笔支付金额在285.71万元以上的，均按200元标准付费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</w:rPr>
        <w:t>与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《绍兴市市级财政国库集中支付代理银行手续费计付管理暂行办法》（绍财预执〔2017〕7号）</w:t>
      </w:r>
      <w:r>
        <w:rPr>
          <w:rFonts w:hint="default" w:ascii="仿宋_GB2312" w:eastAsia="仿宋_GB2312"/>
          <w:kern w:val="0"/>
          <w:sz w:val="32"/>
          <w:szCs w:val="32"/>
        </w:rPr>
        <w:t>相比，对按业务量计付费用标准由原2.5元/每笔提高到3.5元/每笔；按国库集中支付资金量×0.07‰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，增加了“</w:t>
      </w:r>
      <w:r>
        <w:rPr>
          <w:rFonts w:hint="default" w:ascii="仿宋_GB2312" w:eastAsia="仿宋_GB2312"/>
          <w:kern w:val="0"/>
          <w:sz w:val="32"/>
          <w:szCs w:val="32"/>
        </w:rPr>
        <w:t>单笔支付手续费最高限额为200元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”的规定</w:t>
      </w:r>
      <w:r>
        <w:rPr>
          <w:rFonts w:hint="default" w:ascii="仿宋_GB2312" w:eastAsia="仿宋_GB2312"/>
          <w:kern w:val="0"/>
          <w:sz w:val="32"/>
          <w:szCs w:val="32"/>
        </w:rPr>
        <w:t>，即对单笔支付金额在285.71万元以上的，均按200元标准付费。主要考虑:一是代理银行的单笔支付成本更加匹配及代理银行间更加公平,二是有利于保障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</w:t>
      </w:r>
      <w:r>
        <w:rPr>
          <w:rFonts w:hint="default" w:ascii="仿宋_GB2312" w:eastAsia="仿宋_GB2312"/>
          <w:kern w:val="0"/>
          <w:sz w:val="32"/>
          <w:szCs w:val="32"/>
        </w:rPr>
        <w:t>级国库集中支付的平稳运行。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</w:rPr>
        <w:t>（三）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“</w:t>
      </w:r>
      <w:r>
        <w:rPr>
          <w:rFonts w:hint="default" w:ascii="仿宋_GB2312" w:eastAsia="仿宋_GB2312"/>
          <w:kern w:val="0"/>
          <w:sz w:val="32"/>
          <w:szCs w:val="32"/>
        </w:rPr>
        <w:t>奖优罚劣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”</w:t>
      </w:r>
      <w:r>
        <w:rPr>
          <w:rFonts w:hint="default" w:ascii="仿宋_GB2312" w:eastAsia="仿宋_GB2312"/>
          <w:kern w:val="0"/>
          <w:sz w:val="32"/>
          <w:szCs w:val="32"/>
        </w:rPr>
        <w:t>的原则。代理银行年度业务代理手续费与年度综合考核结果挂钩。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手续费的核定根据考核确定的代理银行代理业务服务质量等级，</w:t>
      </w:r>
      <w:r>
        <w:rPr>
          <w:rFonts w:hint="default" w:ascii="仿宋_GB2312" w:eastAsia="仿宋_GB2312"/>
          <w:kern w:val="0"/>
          <w:sz w:val="32"/>
          <w:szCs w:val="32"/>
        </w:rPr>
        <w:t>在按标准计算的手续费总额基础上下浮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动</w:t>
      </w:r>
      <w:r>
        <w:rPr>
          <w:rFonts w:hint="default" w:ascii="仿宋_GB2312" w:eastAsia="仿宋_GB2312"/>
          <w:kern w:val="0"/>
          <w:sz w:val="32"/>
          <w:szCs w:val="32"/>
        </w:rPr>
        <w:t>15%。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三、解读机关和联系方式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</w:rPr>
        <w:t>《手续费计付管理办法》由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市财政局</w:t>
      </w:r>
      <w:r>
        <w:rPr>
          <w:rFonts w:hint="default" w:ascii="仿宋_GB2312" w:eastAsia="仿宋_GB2312"/>
          <w:kern w:val="0"/>
          <w:sz w:val="32"/>
          <w:szCs w:val="32"/>
        </w:rPr>
        <w:t>负责解读，具体联系处室为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</w:t>
      </w:r>
      <w:r>
        <w:rPr>
          <w:rFonts w:hint="default" w:ascii="仿宋_GB2312" w:eastAsia="仿宋_GB2312"/>
          <w:kern w:val="0"/>
          <w:sz w:val="32"/>
          <w:szCs w:val="32"/>
        </w:rPr>
        <w:t>财政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局</w:t>
      </w:r>
      <w:r>
        <w:rPr>
          <w:rFonts w:hint="default" w:ascii="仿宋_GB2312" w:eastAsia="仿宋_GB2312"/>
          <w:kern w:val="0"/>
          <w:sz w:val="32"/>
          <w:szCs w:val="32"/>
        </w:rPr>
        <w:t>预算执行局，联系电话057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kern w:val="0"/>
          <w:sz w:val="32"/>
          <w:szCs w:val="32"/>
        </w:rPr>
        <w:t>-8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5209626</w:t>
      </w:r>
      <w:r>
        <w:rPr>
          <w:rFonts w:hint="default" w:ascii="仿宋_GB2312" w:eastAsia="仿宋_GB2312"/>
          <w:kern w:val="0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00" w:lineRule="exact"/>
        <w:ind w:right="0"/>
        <w:jc w:val="lef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/>
        <w:jc w:val="left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utura Bk">
    <w:altName w:val="Shruti"/>
    <w:panose1 w:val="020B0502020204020303"/>
    <w:charset w:val="00"/>
    <w:family w:val="auto"/>
    <w:pitch w:val="default"/>
    <w:sig w:usb0="00000000" w:usb1="00000000" w:usb2="00000000" w:usb3="00000000" w:csb0="000000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4A5ED0"/>
    <w:rsid w:val="0AE1777B"/>
    <w:rsid w:val="0CA06951"/>
    <w:rsid w:val="3BE114B0"/>
    <w:rsid w:val="44B31B57"/>
    <w:rsid w:val="47B6063B"/>
    <w:rsid w:val="49904FB2"/>
    <w:rsid w:val="4DFE6626"/>
    <w:rsid w:val="4F692B80"/>
    <w:rsid w:val="50B83770"/>
    <w:rsid w:val="77A22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2020-03-29T11:13:00Z</dcterms:created>
  <dc:creator>admin</dc:creator>
  <cp:lastModifiedBy>吴嘉琦</cp:lastModifiedBy>
  <dcterms:modified xsi:type="dcterms:W3CDTF">2020-04-01T01:01:40Z</dcterms:modified>
  <dc:title>关于《××××××××》的政策解读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