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2" w:rsidRPr="00652512" w:rsidRDefault="00652512" w:rsidP="00652512">
      <w:pPr>
        <w:widowControl w:val="0"/>
        <w:spacing w:after="0" w:line="520" w:lineRule="exact"/>
        <w:jc w:val="both"/>
        <w:rPr>
          <w:rFonts w:ascii="黑体" w:eastAsia="黑体" w:hAnsi="宋体" w:cs="Times New Roman" w:hint="eastAsia"/>
          <w:kern w:val="2"/>
          <w:sz w:val="32"/>
          <w:szCs w:val="24"/>
        </w:rPr>
      </w:pPr>
      <w:r w:rsidRPr="00652512">
        <w:rPr>
          <w:rFonts w:ascii="黑体" w:eastAsia="黑体" w:hAnsi="宋体" w:cs="Times New Roman" w:hint="eastAsia"/>
          <w:kern w:val="2"/>
          <w:sz w:val="32"/>
          <w:szCs w:val="24"/>
        </w:rPr>
        <w:t>附件2</w:t>
      </w:r>
    </w:p>
    <w:p w:rsidR="00652512" w:rsidRPr="00652512" w:rsidRDefault="00652512" w:rsidP="00652512">
      <w:pPr>
        <w:widowControl w:val="0"/>
        <w:spacing w:after="0"/>
        <w:jc w:val="center"/>
        <w:rPr>
          <w:rFonts w:ascii="方正小标宋简体" w:eastAsia="方正小标宋简体" w:hAnsi="Times New Roman" w:cs="Times New Roman" w:hint="eastAsia"/>
          <w:kern w:val="2"/>
          <w:sz w:val="40"/>
          <w:szCs w:val="40"/>
        </w:rPr>
      </w:pPr>
      <w:r w:rsidRPr="00652512">
        <w:rPr>
          <w:rFonts w:ascii="方正小标宋简体" w:eastAsia="方正小标宋简体" w:hAnsi="Times New Roman" w:cs="Times New Roman" w:hint="eastAsia"/>
          <w:kern w:val="2"/>
          <w:sz w:val="40"/>
          <w:szCs w:val="40"/>
        </w:rPr>
        <w:t>绍兴市技能大师工作室考核评估标准</w:t>
      </w:r>
    </w:p>
    <w:p w:rsidR="00652512" w:rsidRPr="00652512" w:rsidRDefault="00652512" w:rsidP="00652512">
      <w:pPr>
        <w:widowControl w:val="0"/>
        <w:spacing w:after="0"/>
        <w:ind w:rightChars="-244" w:right="-537"/>
        <w:jc w:val="both"/>
        <w:rPr>
          <w:rFonts w:ascii="仿宋_GB2312" w:eastAsia="仿宋_GB2312" w:hAnsi="Times New Roman" w:cs="Times New Roman" w:hint="eastAsia"/>
          <w:kern w:val="2"/>
          <w:sz w:val="24"/>
          <w:szCs w:val="24"/>
        </w:rPr>
      </w:pPr>
    </w:p>
    <w:p w:rsidR="00652512" w:rsidRPr="00652512" w:rsidRDefault="00652512" w:rsidP="00652512">
      <w:pPr>
        <w:widowControl w:val="0"/>
        <w:spacing w:after="0"/>
        <w:ind w:rightChars="-244" w:right="-537"/>
        <w:jc w:val="both"/>
        <w:rPr>
          <w:rFonts w:ascii="仿宋_GB2312" w:eastAsia="仿宋_GB2312" w:hAnsi="Times New Roman" w:cs="Times New Roman" w:hint="eastAsia"/>
          <w:kern w:val="2"/>
          <w:sz w:val="24"/>
          <w:szCs w:val="24"/>
        </w:rPr>
      </w:pPr>
      <w:r w:rsidRPr="00652512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工作室名称</w:t>
      </w:r>
      <w:r w:rsidRPr="00652512">
        <w:rPr>
          <w:rFonts w:ascii="仿宋_GB2312" w:eastAsia="仿宋_GB2312" w:hAnsi="Times New Roman" w:cs="Times New Roman" w:hint="eastAsia"/>
          <w:kern w:val="2"/>
          <w:sz w:val="24"/>
          <w:szCs w:val="24"/>
          <w:u w:val="single"/>
        </w:rPr>
        <w:t xml:space="preserve">                           </w:t>
      </w:r>
      <w:r w:rsidRPr="00652512">
        <w:rPr>
          <w:rFonts w:ascii="仿宋_GB2312" w:eastAsia="仿宋_GB2312" w:hAnsi="Times New Roman" w:cs="Times New Roman" w:hint="eastAsia"/>
          <w:kern w:val="2"/>
          <w:sz w:val="24"/>
          <w:szCs w:val="24"/>
        </w:rPr>
        <w:t xml:space="preserve">                                                               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949"/>
        <w:gridCol w:w="720"/>
        <w:gridCol w:w="539"/>
        <w:gridCol w:w="4591"/>
        <w:gridCol w:w="810"/>
        <w:gridCol w:w="4377"/>
        <w:gridCol w:w="1480"/>
        <w:gridCol w:w="730"/>
        <w:gridCol w:w="703"/>
      </w:tblGrid>
      <w:tr w:rsidR="00652512" w:rsidRPr="00652512" w:rsidTr="00EF405D">
        <w:trPr>
          <w:trHeight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考核</w:t>
            </w:r>
          </w:p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项目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分值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考核内容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分项</w:t>
            </w:r>
          </w:p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分值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评分标准（最高得分不超过分项分值）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实施情况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自评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评分</w:t>
            </w: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一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基础</w:t>
            </w:r>
          </w:p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建设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25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有工作室专用场地；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无工作室场地不得分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拥有不少于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3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人组成的技术技能人才团队；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人（含）以下不得分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有明显的工作室标识牌、有工作室成果荣誉展示栏；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无明显标识牌不得分、无展示栏不得分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有工作室正常运作的设备；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设备不足影响运作不得分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7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323" w:hangingChars="147" w:hanging="323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323" w:hangingChars="147" w:hanging="323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所在单位每年安排扶持资金；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无扶持资金的不得分；每安排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万元得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二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制度</w:t>
            </w:r>
          </w:p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建设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建立工作室综合管理制度；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没有建立的不得分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建立领办人岗位职责；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没有建立的不得分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做到规章制度张贴上墙；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没有在明显处张贴的不得分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三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经费</w:t>
            </w:r>
          </w:p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管理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25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建立经费使用管理办法；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没有建立的不得分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建立工作室经费会计账簿；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没有建立的不得分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1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经费使用符合财务管理规定；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出现不合理、不合规开支的不得分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1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四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成果</w:t>
            </w:r>
          </w:p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产出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40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当年举办培训班情况；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以培训花名册为准，未开展的不得分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当年带徒传艺情况；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带徒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人（含）以下不得分；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人以上每增加一人得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分，以师徒协议为准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当年培养高技能人才情况；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培养高技能人才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5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人（含）以下不得分；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5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人以上每增加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分，以职业资格证书或文件为依据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431" w:hangingChars="196" w:hanging="431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开展技术攻关或技术革新项目并产生一定的经济效益；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每开展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项并产生效益得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-12" w:firstLine="12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总结推广创新成果、绝技绝活和先进的生产操作法，开展业内技术交流会、课题研讨会或展示活动；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每开展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次活动得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3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积极履行技能服务社会的责任；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开展或参加所在单位以外的服务社会活动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次得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积极开展校企合作活动，与技工院校开展共建工作，推进企业新型学徒制；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企业（院校）工作室与技工院校（企业）签订合作协议并开展活动得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分，开展企业新型学徒制工作得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5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五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加分</w:t>
            </w:r>
          </w:p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项目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10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431" w:hangingChars="196" w:hanging="431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技师、高级技师培养有成效；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培养技师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分，高级技师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人得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431" w:hangingChars="196" w:hanging="431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-12" w:firstLine="12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市级及以上媒体报道工作室建设情况；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以新闻视频或报刊报道为依据，有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次市级得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0.5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分、省级得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5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431" w:hangingChars="196" w:hanging="431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-10" w:firstLine="10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工作室成果获得国家专利或省级及以上奖项；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以有关证书文件为依据，获得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项国家专利或省级以上奖项得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0.5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adjustRightInd/>
              <w:snapToGrid/>
              <w:spacing w:after="0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431" w:hangingChars="196" w:hanging="431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ind w:left="-12" w:firstLine="12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创新成果、特色生产操作方法等发表过论文，或公开出版教材书籍。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以相关实物或书刊资料为依据，发表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篇论文或出版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1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本书籍得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0.5</w:t>
            </w:r>
            <w:r w:rsidRPr="00652512">
              <w:rPr>
                <w:rFonts w:ascii="Times New Roman" w:eastAsia="仿宋_GB2312" w:hAnsi="Times New Roman" w:cs="Times New Roman"/>
                <w:kern w:val="2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  <w:tr w:rsidR="00652512" w:rsidRPr="00652512" w:rsidTr="00EF405D">
        <w:trPr>
          <w:trHeight w:val="5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总分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652512">
              <w:rPr>
                <w:rFonts w:ascii="Times New Roman" w:eastAsia="仿宋_GB2312" w:hAnsi="Times New Roman" w:cs="Times New Roman"/>
                <w:kern w:val="2"/>
              </w:rPr>
              <w:t>110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2" w:rsidRPr="00652512" w:rsidRDefault="00652512" w:rsidP="00652512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525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2512"/>
    <w:rsid w:val="008B7726"/>
    <w:rsid w:val="00D31D50"/>
    <w:rsid w:val="00EA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679</Characters>
  <Application>Microsoft Office Word</Application>
  <DocSecurity>0</DocSecurity>
  <Lines>135</Lines>
  <Paragraphs>95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发文管理</cp:lastModifiedBy>
  <cp:revision>2</cp:revision>
  <dcterms:created xsi:type="dcterms:W3CDTF">2008-09-11T17:20:00Z</dcterms:created>
  <dcterms:modified xsi:type="dcterms:W3CDTF">2021-09-03T07:13:00Z</dcterms:modified>
</cp:coreProperties>
</file>