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20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20</w:t>
      </w:r>
      <w:r>
        <w:rPr>
          <w:rFonts w:hint="eastAsia" w:asciiTheme="minorEastAsia" w:hAnsiTheme="minorEastAsia"/>
          <w:b/>
          <w:sz w:val="44"/>
          <w:szCs w:val="44"/>
        </w:rPr>
        <w:t>年市供销社、市农合联执委会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44"/>
          <w:szCs w:val="44"/>
        </w:rPr>
        <w:t>综合业绩考评指标</w:t>
      </w:r>
    </w:p>
    <w:tbl>
      <w:tblPr>
        <w:tblStyle w:val="3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94"/>
        <w:gridCol w:w="1070"/>
        <w:gridCol w:w="4810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Header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707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指    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销售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（1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分）</w:t>
            </w: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销售总额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销售总额增长率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利润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（1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分）</w:t>
            </w: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全资及控股企业利润总额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全资及控股企业利润总额增长率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5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全资及控股企业净资产收益率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6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农合联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规范化建设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分）</w:t>
            </w: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两项制度”建设与运行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7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“三会”制度运行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8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队伍建设与会员扩容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9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基层农合联党建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10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统计、财务规范化建设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11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为农服务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组织建设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分）</w:t>
            </w: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乡镇基层社建设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12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创建基层示范窗口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13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区域现代农业服务中心建设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14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有服务平台的产业农合联建设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15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村综合服务社建设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为农服务功能开展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33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分）</w:t>
            </w:r>
          </w:p>
        </w:tc>
        <w:tc>
          <w:tcPr>
            <w:tcW w:w="107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生产服务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新型农技推广服务体系建设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农资服务体系建设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新增土地托管等农业社会化服务面积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供销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服务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农产品区域公共品牌运营情况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农产品产销一体化服务体系建设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信用服务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农合联会员信用评定授信与信贷服务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担保、互助、保险服务及风险分担补偿机制建设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开展农事节庆活动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再生资源回收体系建设和农业废弃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包装物回收情况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信息宣传工作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eastAsia="zh-CN"/>
              </w:rPr>
              <w:t>示范创建试点创新（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9分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消费扶贫长效机制构建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发展农家小吃产业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eastAsia="zh-CN"/>
              </w:rPr>
              <w:t>考评加分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（10分）</w:t>
            </w: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得到省部级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、市委市政府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领导肯定性批示的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承办总社、省委省政府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、市委市政府</w:t>
            </w:r>
            <w:r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、县委县政府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重大会议的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改革创新或工作创新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落实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省社、市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社布置的重大工作任务（如协助疫区销售滞销农产品等）绩效好、有创新的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8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上一年度县（市、区）供销社被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eastAsia="zh-CN"/>
              </w:rPr>
              <w:t>当地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党委政府考核优秀的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786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合计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110分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D109A"/>
    <w:rsid w:val="312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2020-07-27T11:06:00Z</dcterms:created>
  <dc:creator>裘宇</dc:creator>
  <cp:lastModifiedBy>裘宇</cp:lastModifiedBy>
  <dcterms:modified xsi:type="dcterms:W3CDTF">2020-07-27T11:07:37Z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