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仿宋_GB2312" w:hAnsi="仿宋_GB2312" w:eastAsia="仿宋_GB2312" w:cs="仿宋_GB2312"/>
          <w:i w:val="0"/>
          <w:caps w:val="0"/>
          <w:color w:val="111F2C"/>
          <w:spacing w:val="0"/>
          <w:sz w:val="32"/>
          <w:szCs w:val="32"/>
          <w:shd w:val="clear" w:color="auto" w:fill="FFFFFF"/>
        </w:rPr>
      </w:pPr>
      <w:r>
        <w:rPr>
          <w:rFonts w:hint="default" w:ascii="Times New Roman" w:hAnsi="Times New Roman" w:eastAsia="方正小标宋简体" w:cs="Times New Roman"/>
          <w:sz w:val="44"/>
          <w:szCs w:val="44"/>
          <w:lang w:eastAsia="zh-CN"/>
        </w:rPr>
        <w:drawing>
          <wp:anchor distT="0" distB="0" distL="114300" distR="114300" simplePos="0" relativeHeight="251659264" behindDoc="1" locked="0" layoutInCell="1" allowOverlap="1">
            <wp:simplePos x="0" y="0"/>
            <wp:positionH relativeFrom="column">
              <wp:posOffset>-1026795</wp:posOffset>
            </wp:positionH>
            <wp:positionV relativeFrom="paragraph">
              <wp:posOffset>-1560830</wp:posOffset>
            </wp:positionV>
            <wp:extent cx="7560310" cy="4651375"/>
            <wp:effectExtent l="0" t="0" r="2540" b="15875"/>
            <wp:wrapNone/>
            <wp:docPr id="2" name="图片 2" descr="绍兴市农业农村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绍兴市农业农村局文件"/>
                    <pic:cNvPicPr>
                      <a:picLocks noChangeAspect="1"/>
                    </pic:cNvPicPr>
                  </pic:nvPicPr>
                  <pic:blipFill>
                    <a:blip r:embed="rId8"/>
                    <a:stretch>
                      <a:fillRect/>
                    </a:stretch>
                  </pic:blipFill>
                  <pic:spPr>
                    <a:xfrm>
                      <a:off x="0" y="0"/>
                      <a:ext cx="7560310" cy="4651375"/>
                    </a:xfrm>
                    <a:prstGeom prst="rect">
                      <a:avLst/>
                    </a:prstGeom>
                    <a:noFill/>
                    <a:ln>
                      <a:noFill/>
                    </a:ln>
                  </pic:spPr>
                </pic:pic>
              </a:graphicData>
            </a:graphic>
          </wp:anchor>
        </w:drawing>
      </w:r>
      <w:r>
        <w:rPr>
          <w:rFonts w:hint="eastAsia" w:eastAsia="方正小标宋简体" w:cs="Times New Roman"/>
          <w:sz w:val="44"/>
          <w:szCs w:val="44"/>
          <w:lang w:val="en-US" w:eastAsia="zh-CN"/>
        </w:rPr>
        <w:t xml:space="preserve">   </w:t>
      </w:r>
      <w:r>
        <w:rPr>
          <w:rFonts w:hint="eastAsia" w:ascii="仿宋_GB2312" w:hAnsi="仿宋_GB2312" w:eastAsia="仿宋_GB2312" w:cs="仿宋_GB2312"/>
          <w:i w:val="0"/>
          <w:caps w:val="0"/>
          <w:color w:val="111F2C"/>
          <w:spacing w:val="0"/>
          <w:sz w:val="32"/>
          <w:szCs w:val="32"/>
          <w:shd w:val="clear" w:color="auto" w:fill="FFFFFF"/>
        </w:rPr>
        <w:t>ZJDC65-2022-0001</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pStyle w:val="5"/>
        <w:spacing w:line="580" w:lineRule="exact"/>
        <w:ind w:firstLine="2880" w:firstLineChars="9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绍市农通〔202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号</w:t>
      </w:r>
    </w:p>
    <w:p>
      <w:pPr>
        <w:pStyle w:val="5"/>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sz w:val="44"/>
          <w:szCs w:val="44"/>
        </w:rPr>
      </w:pPr>
      <w:r>
        <w:rPr>
          <w:rFonts w:hint="eastAsia" w:ascii="方正小标宋简体" w:hAnsi="宋体" w:eastAsia="方正小标宋简体"/>
          <w:sz w:val="44"/>
          <w:szCs w:val="44"/>
        </w:rPr>
        <w:t>绍兴市农业农村局</w:t>
      </w:r>
      <w:r>
        <w:rPr>
          <w:rFonts w:hint="eastAsia" w:ascii="方正小标宋简体" w:eastAsia="方正小标宋简体"/>
          <w:bCs/>
          <w:sz w:val="44"/>
          <w:szCs w:val="44"/>
        </w:rPr>
        <w:t>关于</w:t>
      </w:r>
      <w:r>
        <w:rPr>
          <w:rFonts w:hint="eastAsia" w:ascii="方正小标宋简体" w:eastAsia="方正小标宋简体"/>
          <w:bCs/>
          <w:sz w:val="44"/>
          <w:szCs w:val="44"/>
          <w:lang w:eastAsia="zh-CN"/>
        </w:rPr>
        <w:t>加强</w:t>
      </w:r>
      <w:r>
        <w:rPr>
          <w:rFonts w:hint="eastAsia" w:ascii="方正小标宋简体" w:eastAsia="方正小标宋简体"/>
          <w:bCs/>
          <w:sz w:val="44"/>
          <w:szCs w:val="44"/>
        </w:rPr>
        <w:t>202</w:t>
      </w:r>
      <w:r>
        <w:rPr>
          <w:rFonts w:hint="eastAsia" w:ascii="方正小标宋简体" w:eastAsia="方正小标宋简体"/>
          <w:bCs/>
          <w:sz w:val="44"/>
          <w:szCs w:val="44"/>
          <w:lang w:val="en-US" w:eastAsia="zh-CN"/>
        </w:rPr>
        <w:t>2</w:t>
      </w:r>
      <w:r>
        <w:rPr>
          <w:rFonts w:hint="eastAsia" w:ascii="方正小标宋简体" w:eastAsia="方正小标宋简体"/>
          <w:bCs/>
          <w:sz w:val="44"/>
          <w:szCs w:val="44"/>
        </w:rPr>
        <w:t>年</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禁渔期管理工作的通知</w:t>
      </w:r>
    </w:p>
    <w:p>
      <w:pPr>
        <w:spacing w:line="560" w:lineRule="exact"/>
        <w:jc w:val="right"/>
        <w:rPr>
          <w:rFonts w:hint="eastAsia" w:ascii="方正小标宋简体" w:eastAsia="仿宋_GB2312"/>
          <w:sz w:val="44"/>
          <w:szCs w:val="44"/>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各区、县（市）农业农村局：</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根据《中华人民共和国渔业法》、《浙江省渔业管理条例》、</w:t>
      </w:r>
      <w:r>
        <w:rPr>
          <w:rFonts w:hint="eastAsia" w:ascii="仿宋_GB2312" w:hAnsi="仿宋_GB2312" w:eastAsia="仿宋_GB2312" w:cs="仿宋_GB2312"/>
          <w:color w:val="000000"/>
          <w:sz w:val="32"/>
          <w:szCs w:val="32"/>
          <w:lang w:eastAsia="zh-CN"/>
        </w:rPr>
        <w:t>浙江省农业农村厅《关于实行钱塘江、瓯江、椒江、甬江、苕溪、运河、飞云江、鳌江等八大流域禁渔期制度的通告》</w:t>
      </w:r>
      <w:r>
        <w:rPr>
          <w:rFonts w:hint="eastAsia" w:ascii="仿宋_GB2312" w:hAnsi="仿宋_GB2312" w:eastAsia="仿宋_GB2312" w:cs="仿宋_GB2312"/>
          <w:color w:val="000000"/>
          <w:sz w:val="32"/>
          <w:szCs w:val="32"/>
        </w:rPr>
        <w:t>（ZJSP65-2022-0003）、原浙江省海洋与渔业局《关于绍兴市实施外荡禁渔期的批复》（浙海渔法〔2001〕98号）和《关于上虞市等三市、县要求实施禁渔制度的批复》（浙海渔政〔2007〕29号）等有关规定，现就</w:t>
      </w:r>
      <w:r>
        <w:rPr>
          <w:rFonts w:hint="eastAsia" w:ascii="仿宋_GB2312" w:hAnsi="仿宋_GB2312" w:eastAsia="仿宋_GB2312" w:cs="仿宋_GB2312"/>
          <w:color w:val="000000"/>
          <w:sz w:val="32"/>
          <w:szCs w:val="32"/>
          <w:lang w:eastAsia="zh-CN"/>
        </w:rPr>
        <w:t>加强</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年禁渔期管理工作有关事项通知如下：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一、禁渔内容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（一）禁渔区域及时间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1.钱塘江干流绍兴段（120°50′19.36″E，30°19′08.53″N与120°53′45.12″E，30°13′09.50″N连线以</w:t>
      </w:r>
      <w:r>
        <w:rPr>
          <w:rFonts w:hint="eastAsia" w:ascii="仿宋_GB2312" w:hAnsi="仿宋_GB2312" w:eastAsia="仿宋_GB2312" w:cs="仿宋_GB2312"/>
          <w:color w:val="000000"/>
          <w:sz w:val="32"/>
          <w:szCs w:val="32"/>
          <w:lang w:eastAsia="zh-CN"/>
        </w:rPr>
        <w:t>上段</w:t>
      </w:r>
      <w:r>
        <w:rPr>
          <w:rFonts w:hint="eastAsia" w:ascii="仿宋_GB2312" w:hAnsi="仿宋_GB2312" w:eastAsia="仿宋_GB2312" w:cs="仿宋_GB2312"/>
          <w:color w:val="000000"/>
          <w:sz w:val="32"/>
          <w:szCs w:val="32"/>
        </w:rPr>
        <w:t>至柯桥、萧山交界处）</w:t>
      </w:r>
      <w:r>
        <w:rPr>
          <w:rFonts w:hint="eastAsia" w:ascii="仿宋_GB2312" w:hAnsi="仿宋_GB2312" w:eastAsia="仿宋_GB2312" w:cs="仿宋_GB2312"/>
          <w:color w:val="000000"/>
          <w:sz w:val="32"/>
          <w:szCs w:val="32"/>
          <w:lang w:eastAsia="zh-CN"/>
        </w:rPr>
        <w:t>以及壶源江（壶源溪）、浦阳江、曹娥江、开化江绍兴段</w:t>
      </w:r>
      <w:r>
        <w:rPr>
          <w:rFonts w:hint="eastAsia" w:ascii="仿宋_GB2312" w:hAnsi="仿宋_GB2312" w:eastAsia="仿宋_GB2312" w:cs="仿宋_GB2312"/>
          <w:color w:val="000000"/>
          <w:sz w:val="32"/>
          <w:szCs w:val="32"/>
        </w:rPr>
        <w:t>，禁渔时间为3月1日0时至6月30日24时。其中，曹娥江四环大桥至城南大桥、上浦闸至指石山江段，禁渔时间延至9月30日24时。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绍兴市外荡水域（指非封闭的荡漾、河道、抖河和溇浜等），禁渔时间为4月1日0时至5月31日24时。其中，上虞区皂李湖、小越湖、驿亭东泊和西泊，禁渔时间提前从3月15日0时起实施（禁止捕捞鲫鱼、鲤鱼等自然产卵鱼类）；新昌县澄潭江镜岭大桥上至石门水库大坝，禁渔时间延至6月30日24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（二）禁止作业类型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除娱乐性游钓以外的所有作业方式。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、工作措施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（一）加强领导，</w:t>
      </w:r>
      <w:r>
        <w:rPr>
          <w:rFonts w:hint="eastAsia" w:ascii="楷体_GB2312" w:hAnsi="楷体_GB2312" w:eastAsia="楷体_GB2312" w:cs="楷体_GB2312"/>
          <w:color w:val="000000"/>
          <w:sz w:val="32"/>
          <w:szCs w:val="32"/>
          <w:lang w:eastAsia="zh-CN"/>
        </w:rPr>
        <w:t>高度</w:t>
      </w:r>
      <w:r>
        <w:rPr>
          <w:rFonts w:hint="eastAsia" w:ascii="楷体_GB2312" w:hAnsi="楷体_GB2312" w:eastAsia="楷体_GB2312" w:cs="楷体_GB2312"/>
          <w:color w:val="000000"/>
          <w:sz w:val="32"/>
          <w:szCs w:val="32"/>
        </w:rPr>
        <w:t>重视禁渔工作</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sz w:val="32"/>
          <w:szCs w:val="32"/>
        </w:rPr>
        <w:t>实施禁渔期管理</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贯彻落实</w:t>
      </w:r>
      <w:r>
        <w:rPr>
          <w:rFonts w:hint="eastAsia" w:ascii="仿宋_GB2312" w:hAnsi="仿宋_GB2312" w:eastAsia="仿宋_GB2312" w:cs="仿宋_GB2312"/>
          <w:sz w:val="32"/>
          <w:szCs w:val="32"/>
          <w:lang w:eastAsia="zh-CN"/>
        </w:rPr>
        <w:t>习近平</w:t>
      </w:r>
      <w:r>
        <w:rPr>
          <w:rFonts w:hint="eastAsia" w:ascii="仿宋_GB2312" w:hAnsi="仿宋_GB2312" w:eastAsia="仿宋_GB2312" w:cs="仿宋_GB2312"/>
          <w:sz w:val="32"/>
          <w:szCs w:val="32"/>
        </w:rPr>
        <w:t>生态文明思想以及中央关于长江经济带“共抓大保护、不搞大开发”</w:t>
      </w:r>
      <w:r>
        <w:rPr>
          <w:rFonts w:hint="eastAsia" w:ascii="仿宋_GB2312" w:hAnsi="仿宋_GB2312" w:eastAsia="仿宋_GB2312" w:cs="仿宋_GB2312"/>
          <w:sz w:val="32"/>
          <w:szCs w:val="32"/>
          <w:lang w:eastAsia="zh-CN"/>
        </w:rPr>
        <w:t>重大决策精神</w:t>
      </w:r>
      <w:r>
        <w:rPr>
          <w:rFonts w:hint="eastAsia" w:ascii="仿宋_GB2312" w:hAnsi="仿宋_GB2312" w:eastAsia="仿宋_GB2312" w:cs="仿宋_GB2312"/>
          <w:sz w:val="32"/>
          <w:szCs w:val="32"/>
        </w:rPr>
        <w:t>，具有重</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对于保护渔业资源和水域生态环境，维持水生生物多样性，</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重要作用。</w:t>
      </w:r>
      <w:r>
        <w:rPr>
          <w:rFonts w:hint="eastAsia" w:ascii="仿宋_GB2312" w:hAnsi="仿宋_GB2312" w:eastAsia="仿宋_GB2312" w:cs="仿宋_GB2312"/>
          <w:sz w:val="32"/>
          <w:szCs w:val="32"/>
          <w:lang w:eastAsia="zh-CN"/>
        </w:rPr>
        <w:t>特别是从今年起，全省</w:t>
      </w:r>
      <w:r>
        <w:rPr>
          <w:rFonts w:hint="eastAsia" w:ascii="仿宋_GB2312" w:hAnsi="仿宋_GB2312" w:eastAsia="仿宋_GB2312" w:cs="仿宋_GB2312"/>
          <w:sz w:val="32"/>
          <w:szCs w:val="32"/>
          <w:lang w:val="en-US" w:eastAsia="zh-CN"/>
        </w:rPr>
        <w:t>实行八大流域禁渔期制度，充分体现了省委省政府守护绿水青山的信心和决心</w:t>
      </w:r>
      <w:r>
        <w:rPr>
          <w:rFonts w:hint="eastAsia" w:ascii="仿宋_GB2312" w:hAnsi="仿宋_GB2312" w:eastAsia="仿宋_GB2312" w:cs="仿宋_GB2312"/>
          <w:sz w:val="32"/>
          <w:szCs w:val="32"/>
        </w:rPr>
        <w:t>。各地要</w:t>
      </w:r>
      <w:r>
        <w:rPr>
          <w:rFonts w:hint="eastAsia" w:ascii="仿宋_GB2312" w:hAnsi="仿宋_GB2312" w:eastAsia="仿宋_GB2312" w:cs="仿宋_GB2312"/>
          <w:sz w:val="32"/>
          <w:szCs w:val="32"/>
          <w:lang w:val="en-US" w:eastAsia="zh-CN"/>
        </w:rPr>
        <w:t>切实提高政治站位，认清禁渔工作的重要性、长期性和艰巨性，</w:t>
      </w:r>
      <w:r>
        <w:rPr>
          <w:rFonts w:hint="eastAsia" w:ascii="仿宋_GB2312" w:hAnsi="仿宋_GB2312" w:eastAsia="仿宋_GB2312" w:cs="仿宋_GB2312"/>
          <w:sz w:val="32"/>
          <w:szCs w:val="32"/>
        </w:rPr>
        <w:t>高度重视，</w:t>
      </w:r>
      <w:r>
        <w:rPr>
          <w:rFonts w:hint="eastAsia" w:ascii="仿宋_GB2312" w:hAnsi="仿宋_GB2312" w:eastAsia="仿宋_GB2312" w:cs="仿宋_GB2312"/>
          <w:sz w:val="32"/>
          <w:szCs w:val="32"/>
          <w:lang w:eastAsia="zh-CN"/>
        </w:rPr>
        <w:t>健全工作机制，明确任务举措，强化部门</w:t>
      </w:r>
      <w:r>
        <w:rPr>
          <w:rFonts w:hint="eastAsia" w:ascii="仿宋_GB2312" w:hAnsi="仿宋_GB2312" w:eastAsia="仿宋_GB2312" w:cs="仿宋_GB2312"/>
          <w:sz w:val="32"/>
          <w:szCs w:val="32"/>
        </w:rPr>
        <w:t>协调联动</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落实属地监管责任，</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各项措施落实到位。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）加强执法，严厉打击违法行为。</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统筹执法力量，</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执法力度，加快应急反应，严厉打击违法禁渔期</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的违法捕捞行为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加强与公安、市场监管等部门的</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rPr>
        <w:t>联动，</w:t>
      </w:r>
      <w:r>
        <w:rPr>
          <w:rFonts w:hint="eastAsia" w:ascii="仿宋_GB2312" w:hAnsi="仿宋_GB2312" w:eastAsia="仿宋_GB2312" w:cs="仿宋_GB2312"/>
          <w:sz w:val="32"/>
          <w:szCs w:val="32"/>
          <w:lang w:eastAsia="zh-CN"/>
        </w:rPr>
        <w:t>加密</w:t>
      </w:r>
      <w:r>
        <w:rPr>
          <w:rFonts w:hint="eastAsia" w:ascii="仿宋_GB2312" w:hAnsi="仿宋_GB2312" w:eastAsia="仿宋_GB2312" w:cs="仿宋_GB2312"/>
          <w:sz w:val="32"/>
          <w:szCs w:val="32"/>
        </w:rPr>
        <w:t>重点水域、</w:t>
      </w:r>
      <w:r>
        <w:rPr>
          <w:rFonts w:hint="eastAsia" w:ascii="仿宋_GB2312" w:hAnsi="仿宋_GB2312" w:eastAsia="仿宋_GB2312" w:cs="仿宋_GB2312"/>
          <w:sz w:val="32"/>
          <w:szCs w:val="32"/>
          <w:lang w:eastAsia="zh-CN"/>
        </w:rPr>
        <w:t>违规高发水域巡查频次，</w:t>
      </w:r>
      <w:r>
        <w:rPr>
          <w:rFonts w:hint="eastAsia" w:ascii="仿宋_GB2312" w:hAnsi="仿宋_GB2312" w:eastAsia="仿宋_GB2312" w:cs="仿宋_GB2312"/>
          <w:sz w:val="32"/>
          <w:szCs w:val="32"/>
          <w:lang w:val="en-US" w:eastAsia="zh-CN"/>
        </w:rPr>
        <w:t>加大对群体性、团伙性非法捕捞案件的查处力度，</w:t>
      </w:r>
      <w:r>
        <w:rPr>
          <w:rFonts w:hint="eastAsia" w:ascii="仿宋_GB2312" w:hAnsi="仿宋_GB2312" w:eastAsia="仿宋_GB2312" w:cs="仿宋_GB2312"/>
          <w:sz w:val="32"/>
          <w:szCs w:val="32"/>
        </w:rPr>
        <w:t>保持禁渔期执法高压态势。要严格执行《关于绍兴市非法捕捞水产品犯罪案件办理的会议纪要》（绍检会〔2020〕21号）精神，</w:t>
      </w:r>
      <w:r>
        <w:rPr>
          <w:rFonts w:hint="eastAsia" w:ascii="仿宋_GB2312" w:hAnsi="仿宋_GB2312" w:eastAsia="仿宋_GB2312" w:cs="仿宋_GB2312"/>
          <w:sz w:val="32"/>
          <w:szCs w:val="32"/>
          <w:lang w:eastAsia="zh-CN"/>
        </w:rPr>
        <w:t>强化两法衔接，</w:t>
      </w:r>
      <w:r>
        <w:rPr>
          <w:rFonts w:hint="eastAsia" w:ascii="仿宋_GB2312" w:hAnsi="仿宋_GB2312" w:eastAsia="仿宋_GB2312" w:cs="仿宋_GB2312"/>
          <w:sz w:val="32"/>
          <w:szCs w:val="32"/>
        </w:rPr>
        <w:t>增强执法震慑。要</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做好海洋渔船疫情防控各项工作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严防疫情通过渔船输入。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加强宣传，营造良好禁渔氛围</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sz w:val="32"/>
          <w:szCs w:val="32"/>
          <w:lang w:eastAsia="zh-CN"/>
        </w:rPr>
        <w:t>各地要充分利用传统媒体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新媒体等多种手段，广泛开展禁渔期制度宣传活动，积极争取各方理解、支持和配合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要紧紧</w:t>
      </w:r>
      <w:r>
        <w:rPr>
          <w:rFonts w:hint="eastAsia" w:ascii="仿宋_GB2312" w:hAnsi="仿宋_GB2312" w:eastAsia="仿宋_GB2312" w:cs="仿宋_GB2312"/>
          <w:sz w:val="32"/>
          <w:szCs w:val="32"/>
        </w:rPr>
        <w:t>围绕禁渔期</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阶段，有</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侧重地开展宣传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占领舆论制高点。禁渔期前要发布禁渔期通告，</w:t>
      </w:r>
      <w:r>
        <w:rPr>
          <w:rFonts w:hint="eastAsia" w:ascii="仿宋_GB2312" w:hAnsi="仿宋_GB2312" w:eastAsia="仿宋_GB2312" w:cs="仿宋_GB2312"/>
          <w:sz w:val="32"/>
          <w:szCs w:val="32"/>
          <w:lang w:eastAsia="zh-CN"/>
        </w:rPr>
        <w:t>广泛宣传</w:t>
      </w:r>
      <w:r>
        <w:rPr>
          <w:rFonts w:hint="eastAsia" w:ascii="仿宋_GB2312" w:hAnsi="仿宋_GB2312" w:eastAsia="仿宋_GB2312" w:cs="仿宋_GB2312"/>
          <w:sz w:val="32"/>
          <w:szCs w:val="32"/>
        </w:rPr>
        <w:t>禁渔</w:t>
      </w:r>
      <w:r>
        <w:rPr>
          <w:rFonts w:hint="eastAsia" w:ascii="仿宋_GB2312" w:hAnsi="仿宋_GB2312" w:eastAsia="仿宋_GB2312" w:cs="仿宋_GB2312"/>
          <w:sz w:val="32"/>
          <w:szCs w:val="32"/>
          <w:lang w:eastAsia="zh-CN"/>
        </w:rPr>
        <w:t>内容和</w:t>
      </w:r>
      <w:r>
        <w:rPr>
          <w:rFonts w:hint="eastAsia" w:ascii="仿宋_GB2312" w:hAnsi="仿宋_GB2312" w:eastAsia="仿宋_GB2312" w:cs="仿宋_GB2312"/>
          <w:sz w:val="32"/>
          <w:szCs w:val="32"/>
        </w:rPr>
        <w:t>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禁渔期间要密切关注和及时回应网络等新媒体反映禁渔期的相关问题，组织新闻媒体参与并报道相关执法活动，曝光禁渔期违法行为，保持执法威慑力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禁渔期后要认真总结禁渔期成效，借助各类媒体手段对亮点工作和主要成绩进行广泛宣传，巩固禁渔成果。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三、相关要求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各地要及时总结禁渔制度实施的经验和做法，加强信息报送和交流沟通，巩固禁渔效果。要分析问题和原因，并提出相关建议，为禁渔制度完善提供决策支撑。请各区、县（市）农业农村部门于</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lang w:val="en-US" w:eastAsia="zh-CN"/>
        </w:rPr>
        <w:t>24日前将2022年禁渔期管理情况月统计表（附件2）、</w:t>
      </w:r>
      <w:r>
        <w:rPr>
          <w:rFonts w:hint="eastAsia" w:ascii="仿宋_GB2312" w:hAnsi="仿宋_GB2312" w:eastAsia="仿宋_GB2312" w:cs="仿宋_GB2312"/>
          <w:sz w:val="32"/>
          <w:szCs w:val="32"/>
        </w:rPr>
        <w:t>7月1日前将禁渔期工作总结以纸质和电子稿的形式上报市局。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丁锋</w:t>
      </w:r>
      <w:r>
        <w:rPr>
          <w:rFonts w:hint="eastAsia" w:ascii="仿宋_GB2312" w:hAnsi="仿宋_GB2312" w:eastAsia="仿宋_GB2312" w:cs="仿宋_GB2312"/>
          <w:sz w:val="32"/>
          <w:szCs w:val="32"/>
        </w:rPr>
        <w:t>，联系电话：0575-88738536。</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绍兴市202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年禁渔期通告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2.2022年禁渔期管理情况月统计表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绍兴市农业农村局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p>
      <w:pPr>
        <w:bidi w:val="0"/>
        <w:rPr>
          <w:rFonts w:hint="eastAsia" w:ascii="黑体" w:hAnsi="黑体" w:eastAsia="黑体" w:cs="仿宋"/>
          <w:sz w:val="32"/>
          <w:szCs w:val="32"/>
        </w:rPr>
      </w:pPr>
    </w:p>
    <w:tbl>
      <w:tblPr>
        <w:tblStyle w:val="11"/>
        <w:tblpPr w:leftFromText="180" w:rightFromText="180" w:vertAnchor="text" w:horzAnchor="page" w:tblpX="1307" w:tblpY="51"/>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500"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_GB2312" w:eastAsia="仿宋_GB2312"/>
                <w:sz w:val="28"/>
                <w:szCs w:val="28"/>
                <w:lang w:eastAsia="zh-CN"/>
              </w:rPr>
            </w:pPr>
            <w:r>
              <w:rPr>
                <w:rFonts w:hint="eastAsia" w:ascii="仿宋_GB2312" w:eastAsia="仿宋_GB2312"/>
                <w:sz w:val="28"/>
                <w:szCs w:val="28"/>
                <w:lang w:eastAsia="zh-CN"/>
              </w:rPr>
              <w:t>抄送：浙江省农业农村厅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500" w:type="dxa"/>
            <w:tcBorders>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_GB2312" w:eastAsia="仿宋_GB2312"/>
                <w:sz w:val="28"/>
                <w:szCs w:val="28"/>
              </w:rPr>
            </w:pPr>
            <w:r>
              <w:rPr>
                <w:rFonts w:hint="eastAsia" w:ascii="仿宋_GB2312" w:eastAsia="仿宋_GB2312"/>
                <w:sz w:val="28"/>
                <w:szCs w:val="28"/>
              </w:rPr>
              <w:t xml:space="preserve">绍兴市农业农村局办公室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仿宋"/>
          <w:sz w:val="32"/>
          <w:szCs w:val="32"/>
        </w:rPr>
        <w:br w:type="page"/>
      </w: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pStyle w:val="10"/>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绍兴市202</w:t>
      </w:r>
      <w:r>
        <w:rPr>
          <w:rFonts w:hint="eastAsia" w:ascii="方正小标宋简体" w:hAnsi="宋体" w:eastAsia="方正小标宋简体" w:cs="Times New Roman"/>
          <w:sz w:val="44"/>
          <w:szCs w:val="44"/>
          <w:lang w:val="en-US" w:eastAsia="zh-CN"/>
        </w:rPr>
        <w:t>2</w:t>
      </w:r>
      <w:r>
        <w:rPr>
          <w:rFonts w:hint="eastAsia" w:ascii="方正小标宋简体" w:hAnsi="宋体" w:eastAsia="方正小标宋简体" w:cs="Times New Roman"/>
          <w:sz w:val="44"/>
          <w:szCs w:val="44"/>
        </w:rPr>
        <w:t>年禁渔期通告</w:t>
      </w: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加强生态文明建设，</w:t>
      </w:r>
      <w:r>
        <w:rPr>
          <w:rFonts w:hint="eastAsia" w:ascii="仿宋_GB2312" w:hAnsi="仿宋_GB2312" w:eastAsia="仿宋_GB2312" w:cs="仿宋_GB2312"/>
          <w:color w:val="000000"/>
          <w:sz w:val="32"/>
          <w:szCs w:val="32"/>
        </w:rPr>
        <w:t>养护</w:t>
      </w:r>
      <w:r>
        <w:rPr>
          <w:rFonts w:hint="eastAsia" w:ascii="仿宋_GB2312" w:hAnsi="仿宋_GB2312" w:eastAsia="仿宋_GB2312" w:cs="仿宋_GB2312"/>
          <w:color w:val="000000"/>
          <w:sz w:val="32"/>
          <w:szCs w:val="32"/>
          <w:lang w:eastAsia="zh-CN"/>
        </w:rPr>
        <w:t>水生生物</w:t>
      </w:r>
      <w:r>
        <w:rPr>
          <w:rFonts w:hint="eastAsia" w:ascii="仿宋_GB2312" w:hAnsi="仿宋_GB2312" w:eastAsia="仿宋_GB2312" w:cs="仿宋_GB2312"/>
          <w:color w:val="000000"/>
          <w:sz w:val="32"/>
          <w:szCs w:val="32"/>
        </w:rPr>
        <w:t>资源，</w:t>
      </w:r>
      <w:r>
        <w:rPr>
          <w:rFonts w:hint="eastAsia" w:ascii="仿宋_GB2312" w:hAnsi="仿宋_GB2312" w:eastAsia="仿宋_GB2312" w:cs="仿宋_GB2312"/>
          <w:color w:val="000000"/>
          <w:sz w:val="32"/>
          <w:szCs w:val="32"/>
          <w:lang w:eastAsia="zh-CN"/>
        </w:rPr>
        <w:t>保护生物多样性</w:t>
      </w:r>
      <w:r>
        <w:rPr>
          <w:rFonts w:hint="eastAsia" w:ascii="仿宋_GB2312" w:hAnsi="仿宋_GB2312" w:eastAsia="仿宋_GB2312" w:cs="仿宋_GB2312"/>
          <w:color w:val="000000"/>
          <w:sz w:val="32"/>
          <w:szCs w:val="32"/>
        </w:rPr>
        <w:t>，促进渔业可持续发展，</w:t>
      </w:r>
      <w:r>
        <w:rPr>
          <w:rFonts w:hint="eastAsia" w:ascii="仿宋_GB2312" w:hAnsi="仿宋_GB2312" w:eastAsia="仿宋_GB2312" w:cs="仿宋_GB2312"/>
          <w:sz w:val="32"/>
          <w:szCs w:val="32"/>
        </w:rPr>
        <w:t>根据《中华人民共和国渔业法》等法律法规和</w:t>
      </w:r>
      <w:r>
        <w:rPr>
          <w:rFonts w:hint="eastAsia" w:ascii="仿宋_GB2312" w:hAnsi="仿宋_GB2312" w:eastAsia="仿宋_GB2312" w:cs="仿宋_GB2312"/>
          <w:color w:val="000000"/>
          <w:sz w:val="32"/>
          <w:szCs w:val="32"/>
          <w:lang w:eastAsia="zh-CN"/>
        </w:rPr>
        <w:t>浙江省农业农村厅《关于实行钱塘江、瓯江、椒江、甬江、苕溪、运河、飞云江、鳌江等八大流域禁渔期制度的通告》等</w:t>
      </w:r>
      <w:r>
        <w:rPr>
          <w:rFonts w:hint="eastAsia" w:ascii="仿宋_GB2312" w:hAnsi="仿宋_GB2312" w:eastAsia="仿宋_GB2312" w:cs="仿宋_GB2312"/>
          <w:sz w:val="32"/>
          <w:szCs w:val="32"/>
        </w:rPr>
        <w:t>相关规定，</w:t>
      </w:r>
      <w:r>
        <w:rPr>
          <w:rFonts w:hint="eastAsia" w:ascii="仿宋_GB2312" w:hAnsi="仿宋_GB2312" w:eastAsia="仿宋_GB2312" w:cs="仿宋_GB2312"/>
          <w:color w:val="000000"/>
          <w:kern w:val="0"/>
          <w:sz w:val="32"/>
          <w:szCs w:val="32"/>
        </w:rPr>
        <w:t>现将202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年我市禁渔期管理规定通告如下：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一、禁渔区域及时间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1.钱塘江干流绍兴段（120°50′19.36″E，30°19′08.53″N与120°53′45.12″E，30°13′09.50″N连线以</w:t>
      </w:r>
      <w:r>
        <w:rPr>
          <w:rFonts w:hint="eastAsia" w:ascii="仿宋_GB2312" w:hAnsi="仿宋_GB2312" w:eastAsia="仿宋_GB2312" w:cs="仿宋_GB2312"/>
          <w:sz w:val="32"/>
          <w:szCs w:val="32"/>
          <w:lang w:eastAsia="zh-CN"/>
        </w:rPr>
        <w:t>上段</w:t>
      </w:r>
      <w:r>
        <w:rPr>
          <w:rFonts w:hint="eastAsia" w:ascii="仿宋_GB2312" w:hAnsi="仿宋_GB2312" w:eastAsia="仿宋_GB2312" w:cs="仿宋_GB2312"/>
          <w:sz w:val="32"/>
          <w:szCs w:val="32"/>
        </w:rPr>
        <w:t>至柯桥、萧山交界处）</w:t>
      </w:r>
      <w:r>
        <w:rPr>
          <w:rFonts w:hint="eastAsia" w:ascii="仿宋_GB2312" w:hAnsi="仿宋_GB2312" w:eastAsia="仿宋_GB2312" w:cs="仿宋_GB2312"/>
          <w:sz w:val="32"/>
          <w:szCs w:val="32"/>
          <w:lang w:eastAsia="zh-CN"/>
        </w:rPr>
        <w:t>及壶源江（壶源溪）、浦阳江、曹娥江、开化江绍兴段</w:t>
      </w:r>
      <w:r>
        <w:rPr>
          <w:rFonts w:hint="eastAsia" w:ascii="仿宋_GB2312" w:hAnsi="仿宋_GB2312" w:eastAsia="仿宋_GB2312" w:cs="仿宋_GB2312"/>
          <w:sz w:val="32"/>
          <w:szCs w:val="32"/>
        </w:rPr>
        <w:t>，禁渔时间为3月1日0时至6月30日24时。其中，曹娥江四环大桥至城南大桥、上浦闸至指石山江段，禁渔时间延至9月30日24时。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绍兴市外荡水域（指非封闭的荡漾、河道、抖河和溇浜等），禁渔时间为4月1日0时至5月31日24时。其中，上虞区皂李湖、小越湖、驿亭东泊和西泊，禁渔时间提前从3月15日0时起实施（禁止捕捞鲫鱼、鲤鱼等自然产卵鱼类）；新昌县澄潭江镜岭大桥上至石门水库大坝，禁渔时间延至6月30日24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二、禁止作业类型：</w:t>
      </w:r>
      <w:r>
        <w:rPr>
          <w:rFonts w:hint="eastAsia" w:ascii="仿宋_GB2312" w:hAnsi="仿宋_GB2312" w:eastAsia="仿宋_GB2312" w:cs="仿宋_GB2312"/>
          <w:sz w:val="32"/>
          <w:szCs w:val="32"/>
        </w:rPr>
        <w:t>除娱乐性游钓以外的所有作业方式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三、法律责任：</w:t>
      </w:r>
      <w:r>
        <w:rPr>
          <w:rFonts w:hint="eastAsia" w:ascii="仿宋_GB2312" w:hAnsi="仿宋_GB2312" w:eastAsia="仿宋_GB2312" w:cs="仿宋_GB2312"/>
          <w:sz w:val="32"/>
          <w:szCs w:val="32"/>
        </w:rPr>
        <w:t>违反禁渔期规定进行捕捞的行为，依据渔业相关法律法规将给予相应的行政处罚，情节严重的将依法移交司法机关追究刑事责任。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特此通告。</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54" w:rightChars="121"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绍兴市农业农村局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193" w:firstLineChars="1623"/>
        <w:jc w:val="left"/>
        <w:textAlignment w:val="auto"/>
        <w:rPr>
          <w:rFonts w:hint="eastAsia" w:ascii="仿宋_GB2312" w:hAnsi="仿宋_GB2312" w:eastAsia="仿宋_GB2312" w:cs="仿宋_GB2312"/>
          <w:sz w:val="32"/>
          <w:szCs w:val="32"/>
        </w:rPr>
        <w:sectPr>
          <w:headerReference r:id="rId3" w:type="default"/>
          <w:footerReference r:id="rId5" w:type="default"/>
          <w:headerReference r:id="rId4" w:type="even"/>
          <w:footerReference r:id="rId6" w:type="even"/>
          <w:pgSz w:w="11906" w:h="16838"/>
          <w:pgMar w:top="1928" w:right="1474" w:bottom="1474" w:left="1587" w:header="851" w:footer="992" w:gutter="0"/>
          <w:pgNumType w:fmt="decimal"/>
          <w:cols w:space="425" w:num="1"/>
          <w:docGrid w:type="lines"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pStyle w:val="10"/>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2022年禁渔期管理情况月统计表</w:t>
      </w:r>
    </w:p>
    <w:p>
      <w:pPr>
        <w:ind w:left="1" w:leftChars="-133" w:hanging="280" w:hangingChars="100"/>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填报单位（盖章）：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w:t>
      </w:r>
      <w:bookmarkStart w:id="0" w:name="_GoBack"/>
      <w:bookmarkEnd w:id="0"/>
      <w:r>
        <w:rPr>
          <w:rFonts w:hint="eastAsia" w:ascii="仿宋_GB2312" w:hAnsi="仿宋_GB2312" w:eastAsia="仿宋_GB2312" w:cs="仿宋_GB2312"/>
          <w:kern w:val="0"/>
          <w:sz w:val="28"/>
          <w:szCs w:val="28"/>
        </w:rPr>
        <w:t>日</w:t>
      </w:r>
    </w:p>
    <w:tbl>
      <w:tblPr>
        <w:tblStyle w:val="11"/>
        <w:tblW w:w="14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233"/>
        <w:gridCol w:w="1316"/>
        <w:gridCol w:w="1300"/>
        <w:gridCol w:w="1339"/>
        <w:gridCol w:w="1487"/>
        <w:gridCol w:w="1419"/>
        <w:gridCol w:w="1610"/>
        <w:gridCol w:w="873"/>
        <w:gridCol w:w="899"/>
        <w:gridCol w:w="97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53" w:type="dxa"/>
            <w:gridSpan w:val="2"/>
            <w:vMerge w:val="restart"/>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宣传活动</w:t>
            </w:r>
          </w:p>
        </w:tc>
        <w:tc>
          <w:tcPr>
            <w:tcW w:w="1316" w:type="dxa"/>
            <w:vMerge w:val="restart"/>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执法行动（次）</w:t>
            </w:r>
          </w:p>
        </w:tc>
        <w:tc>
          <w:tcPr>
            <w:tcW w:w="1300" w:type="dxa"/>
            <w:tcBorders>
              <w:lef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其中:</w:t>
            </w:r>
          </w:p>
        </w:tc>
        <w:tc>
          <w:tcPr>
            <w:tcW w:w="133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执法车</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（辆次）</w:t>
            </w:r>
          </w:p>
        </w:tc>
        <w:tc>
          <w:tcPr>
            <w:tcW w:w="1487"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执法船艇</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（艘次）</w:t>
            </w:r>
          </w:p>
        </w:tc>
        <w:tc>
          <w:tcPr>
            <w:tcW w:w="141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执法人员</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（人次）</w:t>
            </w:r>
          </w:p>
        </w:tc>
        <w:tc>
          <w:tcPr>
            <w:tcW w:w="1610"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没收违法渔获物（公斤）</w:t>
            </w:r>
          </w:p>
        </w:tc>
        <w:tc>
          <w:tcPr>
            <w:tcW w:w="1772"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取缔违禁渔具（件/米）</w:t>
            </w:r>
          </w:p>
        </w:tc>
        <w:tc>
          <w:tcPr>
            <w:tcW w:w="1901"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查扣/拆解</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涉渔“三无”船舶（艘）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53" w:type="dxa"/>
            <w:gridSpan w:val="2"/>
            <w:vMerge w:val="continue"/>
            <w:tcBorders>
              <w:righ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16" w:type="dxa"/>
            <w:vMerge w:val="continue"/>
            <w:tcBorders>
              <w:righ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00" w:type="dxa"/>
            <w:vMerge w:val="restart"/>
            <w:tcBorders>
              <w:lef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联合执法</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xml:space="preserve"> 行动（次）</w:t>
            </w:r>
          </w:p>
        </w:tc>
        <w:tc>
          <w:tcPr>
            <w:tcW w:w="1339" w:type="dxa"/>
            <w:vMerge w:val="continue"/>
            <w:noWrap w:val="0"/>
            <w:vAlign w:val="center"/>
          </w:tcPr>
          <w:p>
            <w:pPr>
              <w:jc w:val="center"/>
              <w:rPr>
                <w:rFonts w:hint="eastAsia" w:ascii="仿宋_GB2312" w:hAnsi="仿宋_GB2312" w:eastAsia="仿宋_GB2312" w:cs="仿宋_GB2312"/>
                <w:b/>
                <w:bCs/>
                <w:kern w:val="0"/>
                <w:szCs w:val="21"/>
              </w:rPr>
            </w:pPr>
          </w:p>
        </w:tc>
        <w:tc>
          <w:tcPr>
            <w:tcW w:w="1487" w:type="dxa"/>
            <w:vMerge w:val="continue"/>
            <w:noWrap w:val="0"/>
            <w:vAlign w:val="center"/>
          </w:tcPr>
          <w:p>
            <w:pPr>
              <w:jc w:val="center"/>
              <w:rPr>
                <w:rFonts w:hint="eastAsia" w:ascii="仿宋_GB2312" w:hAnsi="仿宋_GB2312" w:eastAsia="仿宋_GB2312" w:cs="仿宋_GB2312"/>
                <w:b/>
                <w:bCs/>
                <w:kern w:val="0"/>
                <w:szCs w:val="21"/>
              </w:rPr>
            </w:pPr>
          </w:p>
        </w:tc>
        <w:tc>
          <w:tcPr>
            <w:tcW w:w="1419" w:type="dxa"/>
            <w:vMerge w:val="continue"/>
            <w:noWrap w:val="0"/>
            <w:vAlign w:val="center"/>
          </w:tcPr>
          <w:p>
            <w:pPr>
              <w:jc w:val="center"/>
              <w:rPr>
                <w:rFonts w:hint="eastAsia" w:ascii="仿宋_GB2312" w:hAnsi="仿宋_GB2312" w:eastAsia="仿宋_GB2312" w:cs="仿宋_GB2312"/>
                <w:b/>
                <w:bCs/>
                <w:kern w:val="0"/>
                <w:szCs w:val="21"/>
              </w:rPr>
            </w:pPr>
          </w:p>
        </w:tc>
        <w:tc>
          <w:tcPr>
            <w:tcW w:w="1610" w:type="dxa"/>
            <w:vMerge w:val="continue"/>
            <w:noWrap w:val="0"/>
            <w:vAlign w:val="center"/>
          </w:tcPr>
          <w:p>
            <w:pPr>
              <w:jc w:val="center"/>
              <w:rPr>
                <w:rFonts w:hint="eastAsia" w:ascii="仿宋_GB2312" w:hAnsi="仿宋_GB2312" w:eastAsia="仿宋_GB2312" w:cs="仿宋_GB2312"/>
                <w:b/>
                <w:bCs/>
                <w:kern w:val="0"/>
                <w:szCs w:val="21"/>
              </w:rPr>
            </w:pPr>
          </w:p>
        </w:tc>
        <w:tc>
          <w:tcPr>
            <w:tcW w:w="1772" w:type="dxa"/>
            <w:gridSpan w:val="2"/>
            <w:vMerge w:val="continue"/>
            <w:noWrap w:val="0"/>
            <w:vAlign w:val="center"/>
          </w:tcPr>
          <w:p>
            <w:pPr>
              <w:jc w:val="center"/>
              <w:rPr>
                <w:rFonts w:hint="eastAsia" w:ascii="仿宋_GB2312" w:hAnsi="仿宋_GB2312" w:eastAsia="仿宋_GB2312" w:cs="仿宋_GB2312"/>
                <w:b/>
                <w:bCs/>
                <w:kern w:val="0"/>
                <w:szCs w:val="21"/>
              </w:rPr>
            </w:pPr>
          </w:p>
        </w:tc>
        <w:tc>
          <w:tcPr>
            <w:tcW w:w="1901" w:type="dxa"/>
            <w:gridSpan w:val="2"/>
            <w:vMerge w:val="continue"/>
            <w:noWrap w:val="0"/>
            <w:vAlign w:val="center"/>
          </w:tcPr>
          <w:p>
            <w:pPr>
              <w:jc w:val="center"/>
              <w:rPr>
                <w:rFonts w:hint="eastAsia"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20" w:type="dxa"/>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宣传材料</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（份）</w:t>
            </w:r>
          </w:p>
        </w:tc>
        <w:tc>
          <w:tcPr>
            <w:tcW w:w="1233" w:type="dxa"/>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媒体宣传</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（次）</w:t>
            </w:r>
          </w:p>
        </w:tc>
        <w:tc>
          <w:tcPr>
            <w:tcW w:w="1316" w:type="dxa"/>
            <w:vMerge w:val="continue"/>
            <w:tcBorders>
              <w:righ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00" w:type="dxa"/>
            <w:vMerge w:val="continue"/>
            <w:tcBorders>
              <w:lef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39" w:type="dxa"/>
            <w:vMerge w:val="continue"/>
            <w:noWrap w:val="0"/>
            <w:vAlign w:val="center"/>
          </w:tcPr>
          <w:p>
            <w:pPr>
              <w:jc w:val="center"/>
              <w:rPr>
                <w:rFonts w:hint="eastAsia" w:ascii="仿宋_GB2312" w:hAnsi="仿宋_GB2312" w:eastAsia="仿宋_GB2312" w:cs="仿宋_GB2312"/>
                <w:b/>
                <w:bCs/>
                <w:kern w:val="0"/>
                <w:szCs w:val="21"/>
              </w:rPr>
            </w:pPr>
          </w:p>
        </w:tc>
        <w:tc>
          <w:tcPr>
            <w:tcW w:w="1487" w:type="dxa"/>
            <w:vMerge w:val="continue"/>
            <w:noWrap w:val="0"/>
            <w:vAlign w:val="center"/>
          </w:tcPr>
          <w:p>
            <w:pPr>
              <w:jc w:val="center"/>
              <w:rPr>
                <w:rFonts w:hint="eastAsia" w:ascii="仿宋_GB2312" w:hAnsi="仿宋_GB2312" w:eastAsia="仿宋_GB2312" w:cs="仿宋_GB2312"/>
                <w:b/>
                <w:bCs/>
                <w:kern w:val="0"/>
                <w:szCs w:val="21"/>
              </w:rPr>
            </w:pPr>
          </w:p>
        </w:tc>
        <w:tc>
          <w:tcPr>
            <w:tcW w:w="1419" w:type="dxa"/>
            <w:vMerge w:val="continue"/>
            <w:noWrap w:val="0"/>
            <w:vAlign w:val="center"/>
          </w:tcPr>
          <w:p>
            <w:pPr>
              <w:jc w:val="center"/>
              <w:rPr>
                <w:rFonts w:hint="eastAsia" w:ascii="仿宋_GB2312" w:hAnsi="仿宋_GB2312" w:eastAsia="仿宋_GB2312" w:cs="仿宋_GB2312"/>
                <w:b/>
                <w:bCs/>
                <w:kern w:val="0"/>
                <w:szCs w:val="21"/>
              </w:rPr>
            </w:pPr>
          </w:p>
        </w:tc>
        <w:tc>
          <w:tcPr>
            <w:tcW w:w="1610" w:type="dxa"/>
            <w:vMerge w:val="continue"/>
            <w:noWrap w:val="0"/>
            <w:vAlign w:val="center"/>
          </w:tcPr>
          <w:p>
            <w:pPr>
              <w:jc w:val="center"/>
              <w:rPr>
                <w:rFonts w:hint="eastAsia" w:ascii="仿宋_GB2312" w:hAnsi="仿宋_GB2312" w:eastAsia="仿宋_GB2312" w:cs="仿宋_GB2312"/>
                <w:b/>
                <w:bCs/>
                <w:kern w:val="0"/>
                <w:szCs w:val="21"/>
              </w:rPr>
            </w:pPr>
          </w:p>
        </w:tc>
        <w:tc>
          <w:tcPr>
            <w:tcW w:w="1772" w:type="dxa"/>
            <w:gridSpan w:val="2"/>
            <w:vMerge w:val="continue"/>
            <w:noWrap w:val="0"/>
            <w:vAlign w:val="center"/>
          </w:tcPr>
          <w:p>
            <w:pPr>
              <w:jc w:val="center"/>
              <w:rPr>
                <w:rFonts w:hint="eastAsia" w:ascii="仿宋_GB2312" w:hAnsi="仿宋_GB2312" w:eastAsia="仿宋_GB2312" w:cs="仿宋_GB2312"/>
                <w:b/>
                <w:bCs/>
                <w:kern w:val="0"/>
                <w:szCs w:val="21"/>
              </w:rPr>
            </w:pPr>
          </w:p>
        </w:tc>
        <w:tc>
          <w:tcPr>
            <w:tcW w:w="1901" w:type="dxa"/>
            <w:gridSpan w:val="2"/>
            <w:vMerge w:val="continue"/>
            <w:noWrap w:val="0"/>
            <w:vAlign w:val="center"/>
          </w:tcPr>
          <w:p>
            <w:pPr>
              <w:jc w:val="center"/>
              <w:rPr>
                <w:rFonts w:hint="eastAsia"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220" w:type="dxa"/>
            <w:noWrap w:val="0"/>
            <w:vAlign w:val="center"/>
          </w:tcPr>
          <w:p>
            <w:pPr>
              <w:jc w:val="center"/>
              <w:rPr>
                <w:rFonts w:hint="eastAsia" w:ascii="仿宋_GB2312" w:hAnsi="仿宋_GB2312" w:eastAsia="仿宋_GB2312" w:cs="仿宋_GB2312"/>
                <w:b/>
                <w:bCs/>
                <w:kern w:val="0"/>
                <w:szCs w:val="21"/>
              </w:rPr>
            </w:pPr>
          </w:p>
        </w:tc>
        <w:tc>
          <w:tcPr>
            <w:tcW w:w="1233" w:type="dxa"/>
            <w:noWrap w:val="0"/>
            <w:vAlign w:val="center"/>
          </w:tcPr>
          <w:p>
            <w:pPr>
              <w:jc w:val="center"/>
              <w:rPr>
                <w:rFonts w:hint="eastAsia" w:ascii="仿宋_GB2312" w:hAnsi="仿宋_GB2312" w:eastAsia="仿宋_GB2312" w:cs="仿宋_GB2312"/>
                <w:b/>
                <w:bCs/>
                <w:kern w:val="0"/>
                <w:szCs w:val="21"/>
              </w:rPr>
            </w:pPr>
          </w:p>
        </w:tc>
        <w:tc>
          <w:tcPr>
            <w:tcW w:w="1316" w:type="dxa"/>
            <w:noWrap w:val="0"/>
            <w:vAlign w:val="center"/>
          </w:tcPr>
          <w:p>
            <w:pPr>
              <w:jc w:val="center"/>
              <w:rPr>
                <w:rFonts w:hint="eastAsia" w:ascii="仿宋_GB2312" w:hAnsi="仿宋_GB2312" w:eastAsia="仿宋_GB2312" w:cs="仿宋_GB2312"/>
                <w:b/>
                <w:bCs/>
                <w:kern w:val="0"/>
                <w:szCs w:val="21"/>
              </w:rPr>
            </w:pPr>
          </w:p>
        </w:tc>
        <w:tc>
          <w:tcPr>
            <w:tcW w:w="1300" w:type="dxa"/>
            <w:noWrap w:val="0"/>
            <w:vAlign w:val="center"/>
          </w:tcPr>
          <w:p>
            <w:pPr>
              <w:jc w:val="center"/>
              <w:rPr>
                <w:rFonts w:hint="eastAsia" w:ascii="仿宋_GB2312" w:hAnsi="仿宋_GB2312" w:eastAsia="仿宋_GB2312" w:cs="仿宋_GB2312"/>
                <w:b/>
                <w:bCs/>
                <w:kern w:val="0"/>
                <w:szCs w:val="21"/>
              </w:rPr>
            </w:pPr>
          </w:p>
        </w:tc>
        <w:tc>
          <w:tcPr>
            <w:tcW w:w="1339" w:type="dxa"/>
            <w:noWrap w:val="0"/>
            <w:vAlign w:val="center"/>
          </w:tcPr>
          <w:p>
            <w:pPr>
              <w:jc w:val="center"/>
              <w:rPr>
                <w:rFonts w:hint="eastAsia" w:ascii="仿宋_GB2312" w:hAnsi="仿宋_GB2312" w:eastAsia="仿宋_GB2312" w:cs="仿宋_GB2312"/>
                <w:b/>
                <w:bCs/>
                <w:kern w:val="0"/>
                <w:szCs w:val="21"/>
              </w:rPr>
            </w:pPr>
          </w:p>
        </w:tc>
        <w:tc>
          <w:tcPr>
            <w:tcW w:w="1487" w:type="dxa"/>
            <w:noWrap w:val="0"/>
            <w:vAlign w:val="center"/>
          </w:tcPr>
          <w:p>
            <w:pPr>
              <w:jc w:val="center"/>
              <w:rPr>
                <w:rFonts w:hint="eastAsia" w:ascii="仿宋_GB2312" w:hAnsi="仿宋_GB2312" w:eastAsia="仿宋_GB2312" w:cs="仿宋_GB2312"/>
                <w:b/>
                <w:bCs/>
                <w:szCs w:val="21"/>
              </w:rPr>
            </w:pPr>
          </w:p>
        </w:tc>
        <w:tc>
          <w:tcPr>
            <w:tcW w:w="1419" w:type="dxa"/>
            <w:noWrap w:val="0"/>
            <w:vAlign w:val="center"/>
          </w:tcPr>
          <w:p>
            <w:pPr>
              <w:jc w:val="center"/>
              <w:rPr>
                <w:rFonts w:hint="eastAsia" w:ascii="仿宋_GB2312" w:hAnsi="仿宋_GB2312" w:eastAsia="仿宋_GB2312" w:cs="仿宋_GB2312"/>
                <w:b/>
                <w:bCs/>
                <w:szCs w:val="21"/>
              </w:rPr>
            </w:pPr>
          </w:p>
        </w:tc>
        <w:tc>
          <w:tcPr>
            <w:tcW w:w="1610" w:type="dxa"/>
            <w:noWrap w:val="0"/>
            <w:vAlign w:val="center"/>
          </w:tcPr>
          <w:p>
            <w:pPr>
              <w:jc w:val="center"/>
              <w:rPr>
                <w:rFonts w:hint="eastAsia" w:ascii="仿宋_GB2312" w:hAnsi="仿宋_GB2312" w:eastAsia="仿宋_GB2312" w:cs="仿宋_GB2312"/>
                <w:b/>
                <w:bCs/>
                <w:szCs w:val="21"/>
              </w:rPr>
            </w:pPr>
          </w:p>
        </w:tc>
        <w:tc>
          <w:tcPr>
            <w:tcW w:w="873" w:type="dxa"/>
            <w:noWrap w:val="0"/>
            <w:vAlign w:val="center"/>
          </w:tcPr>
          <w:p>
            <w:pPr>
              <w:jc w:val="center"/>
              <w:rPr>
                <w:rFonts w:hint="eastAsia" w:ascii="仿宋_GB2312" w:hAnsi="仿宋_GB2312" w:eastAsia="仿宋_GB2312" w:cs="仿宋_GB2312"/>
                <w:b/>
                <w:bCs/>
                <w:szCs w:val="21"/>
              </w:rPr>
            </w:pPr>
          </w:p>
        </w:tc>
        <w:tc>
          <w:tcPr>
            <w:tcW w:w="899" w:type="dxa"/>
            <w:noWrap w:val="0"/>
            <w:vAlign w:val="center"/>
          </w:tcPr>
          <w:p>
            <w:pPr>
              <w:jc w:val="center"/>
              <w:rPr>
                <w:rFonts w:hint="eastAsia" w:ascii="仿宋_GB2312" w:hAnsi="仿宋_GB2312" w:eastAsia="仿宋_GB2312" w:cs="仿宋_GB2312"/>
                <w:b/>
                <w:bCs/>
                <w:szCs w:val="21"/>
              </w:rPr>
            </w:pPr>
          </w:p>
        </w:tc>
        <w:tc>
          <w:tcPr>
            <w:tcW w:w="974" w:type="dxa"/>
            <w:noWrap w:val="0"/>
            <w:vAlign w:val="center"/>
          </w:tcPr>
          <w:p>
            <w:pPr>
              <w:jc w:val="center"/>
              <w:rPr>
                <w:rFonts w:hint="eastAsia" w:ascii="仿宋_GB2312" w:hAnsi="仿宋_GB2312" w:eastAsia="仿宋_GB2312" w:cs="仿宋_GB2312"/>
                <w:b/>
                <w:bCs/>
                <w:szCs w:val="21"/>
              </w:rPr>
            </w:pPr>
          </w:p>
        </w:tc>
        <w:tc>
          <w:tcPr>
            <w:tcW w:w="927" w:type="dxa"/>
            <w:noWrap w:val="0"/>
            <w:vAlign w:val="center"/>
          </w:tcPr>
          <w:p>
            <w:pPr>
              <w:jc w:val="center"/>
              <w:rPr>
                <w:rFonts w:hint="eastAsia"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453"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行政处罚案件</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（起）</w:t>
            </w:r>
          </w:p>
        </w:tc>
        <w:tc>
          <w:tcPr>
            <w:tcW w:w="2616" w:type="dxa"/>
            <w:gridSpan w:val="2"/>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lang w:val="en"/>
              </w:rPr>
              <w:t>其</w:t>
            </w:r>
            <w:r>
              <w:rPr>
                <w:rFonts w:hint="eastAsia" w:ascii="仿宋_GB2312" w:hAnsi="仿宋_GB2312" w:eastAsia="仿宋_GB2312" w:cs="仿宋_GB2312"/>
                <w:b/>
                <w:bCs/>
                <w:kern w:val="0"/>
                <w:szCs w:val="21"/>
              </w:rPr>
              <w:t xml:space="preserve"> </w:t>
            </w:r>
            <w:r>
              <w:rPr>
                <w:rFonts w:hint="eastAsia" w:ascii="仿宋_GB2312" w:hAnsi="仿宋_GB2312" w:eastAsia="仿宋_GB2312" w:cs="仿宋_GB2312"/>
                <w:b/>
                <w:bCs/>
                <w:kern w:val="0"/>
                <w:szCs w:val="21"/>
                <w:lang w:val="en"/>
              </w:rPr>
              <w:t>中：</w:t>
            </w:r>
          </w:p>
        </w:tc>
        <w:tc>
          <w:tcPr>
            <w:tcW w:w="133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行政处罚</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人数</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w:t>
            </w:r>
          </w:p>
        </w:tc>
        <w:tc>
          <w:tcPr>
            <w:tcW w:w="1487"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行政罚没款</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总额</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（万元）</w:t>
            </w:r>
          </w:p>
        </w:tc>
        <w:tc>
          <w:tcPr>
            <w:tcW w:w="141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司法移送</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案件数（起）</w:t>
            </w:r>
          </w:p>
        </w:tc>
        <w:tc>
          <w:tcPr>
            <w:tcW w:w="1610"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司法移送</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人数（人）</w:t>
            </w:r>
          </w:p>
        </w:tc>
        <w:tc>
          <w:tcPr>
            <w:tcW w:w="1772"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公益诉讼案件</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（起）</w:t>
            </w:r>
          </w:p>
        </w:tc>
        <w:tc>
          <w:tcPr>
            <w:tcW w:w="1901"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453" w:type="dxa"/>
            <w:gridSpan w:val="2"/>
            <w:vMerge w:val="continue"/>
            <w:noWrap w:val="0"/>
            <w:vAlign w:val="center"/>
          </w:tcPr>
          <w:p>
            <w:pPr>
              <w:jc w:val="center"/>
              <w:rPr>
                <w:rFonts w:hint="eastAsia" w:ascii="仿宋_GB2312" w:hAnsi="仿宋_GB2312" w:eastAsia="仿宋_GB2312" w:cs="仿宋_GB2312"/>
                <w:kern w:val="0"/>
                <w:szCs w:val="21"/>
              </w:rPr>
            </w:pPr>
          </w:p>
        </w:tc>
        <w:tc>
          <w:tcPr>
            <w:tcW w:w="1316" w:type="dxa"/>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查处电毒炸案（起）</w:t>
            </w:r>
          </w:p>
        </w:tc>
        <w:tc>
          <w:tcPr>
            <w:tcW w:w="1300" w:type="dxa"/>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查处销售违禁渔获      物案（起）</w:t>
            </w:r>
          </w:p>
        </w:tc>
        <w:tc>
          <w:tcPr>
            <w:tcW w:w="1339" w:type="dxa"/>
            <w:vMerge w:val="continue"/>
            <w:noWrap w:val="0"/>
            <w:vAlign w:val="center"/>
          </w:tcPr>
          <w:p>
            <w:pPr>
              <w:jc w:val="center"/>
              <w:rPr>
                <w:rFonts w:hint="eastAsia" w:ascii="仿宋_GB2312" w:hAnsi="仿宋_GB2312" w:eastAsia="仿宋_GB2312" w:cs="仿宋_GB2312"/>
                <w:kern w:val="0"/>
                <w:szCs w:val="21"/>
              </w:rPr>
            </w:pPr>
          </w:p>
        </w:tc>
        <w:tc>
          <w:tcPr>
            <w:tcW w:w="1487" w:type="dxa"/>
            <w:vMerge w:val="continue"/>
            <w:noWrap w:val="0"/>
            <w:vAlign w:val="center"/>
          </w:tcPr>
          <w:p>
            <w:pPr>
              <w:rPr>
                <w:rFonts w:hint="eastAsia" w:ascii="仿宋_GB2312" w:hAnsi="仿宋_GB2312" w:eastAsia="仿宋_GB2312" w:cs="仿宋_GB2312"/>
                <w:kern w:val="0"/>
                <w:szCs w:val="21"/>
              </w:rPr>
            </w:pPr>
          </w:p>
        </w:tc>
        <w:tc>
          <w:tcPr>
            <w:tcW w:w="1419" w:type="dxa"/>
            <w:vMerge w:val="continue"/>
            <w:noWrap w:val="0"/>
            <w:vAlign w:val="center"/>
          </w:tcPr>
          <w:p>
            <w:pPr>
              <w:rPr>
                <w:rFonts w:hint="eastAsia" w:ascii="仿宋_GB2312" w:hAnsi="仿宋_GB2312" w:eastAsia="仿宋_GB2312" w:cs="仿宋_GB2312"/>
                <w:kern w:val="0"/>
                <w:szCs w:val="21"/>
              </w:rPr>
            </w:pPr>
          </w:p>
        </w:tc>
        <w:tc>
          <w:tcPr>
            <w:tcW w:w="1610" w:type="dxa"/>
            <w:vMerge w:val="continue"/>
            <w:noWrap w:val="0"/>
            <w:vAlign w:val="center"/>
          </w:tcPr>
          <w:p>
            <w:pPr>
              <w:rPr>
                <w:rFonts w:hint="eastAsia" w:ascii="仿宋_GB2312" w:hAnsi="仿宋_GB2312" w:eastAsia="仿宋_GB2312" w:cs="仿宋_GB2312"/>
                <w:kern w:val="0"/>
                <w:szCs w:val="21"/>
              </w:rPr>
            </w:pPr>
          </w:p>
        </w:tc>
        <w:tc>
          <w:tcPr>
            <w:tcW w:w="1772" w:type="dxa"/>
            <w:gridSpan w:val="2"/>
            <w:vMerge w:val="continue"/>
            <w:noWrap w:val="0"/>
            <w:vAlign w:val="center"/>
          </w:tcPr>
          <w:p>
            <w:pPr>
              <w:rPr>
                <w:rFonts w:hint="eastAsia" w:ascii="仿宋_GB2312" w:hAnsi="仿宋_GB2312" w:eastAsia="仿宋_GB2312" w:cs="仿宋_GB2312"/>
                <w:kern w:val="0"/>
                <w:szCs w:val="21"/>
              </w:rPr>
            </w:pPr>
          </w:p>
        </w:tc>
        <w:tc>
          <w:tcPr>
            <w:tcW w:w="1901" w:type="dxa"/>
            <w:gridSpan w:val="2"/>
            <w:vMerge w:val="continue"/>
            <w:noWrap w:val="0"/>
            <w:vAlign w:val="center"/>
          </w:tcPr>
          <w:p>
            <w:pP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453" w:type="dxa"/>
            <w:gridSpan w:val="2"/>
            <w:noWrap w:val="0"/>
            <w:vAlign w:val="center"/>
          </w:tcPr>
          <w:p>
            <w:pPr>
              <w:jc w:val="center"/>
              <w:rPr>
                <w:rFonts w:hint="eastAsia" w:ascii="仿宋_GB2312" w:hAnsi="仿宋_GB2312" w:eastAsia="仿宋_GB2312" w:cs="仿宋_GB2312"/>
                <w:kern w:val="0"/>
                <w:szCs w:val="21"/>
              </w:rPr>
            </w:pPr>
          </w:p>
        </w:tc>
        <w:tc>
          <w:tcPr>
            <w:tcW w:w="1316" w:type="dxa"/>
            <w:noWrap w:val="0"/>
            <w:vAlign w:val="center"/>
          </w:tcPr>
          <w:p>
            <w:pPr>
              <w:jc w:val="center"/>
              <w:rPr>
                <w:rFonts w:hint="eastAsia" w:ascii="仿宋_GB2312" w:hAnsi="仿宋_GB2312" w:eastAsia="仿宋_GB2312" w:cs="仿宋_GB2312"/>
                <w:kern w:val="0"/>
                <w:szCs w:val="21"/>
              </w:rPr>
            </w:pPr>
          </w:p>
        </w:tc>
        <w:tc>
          <w:tcPr>
            <w:tcW w:w="1300" w:type="dxa"/>
            <w:noWrap w:val="0"/>
            <w:vAlign w:val="center"/>
          </w:tcPr>
          <w:p>
            <w:pPr>
              <w:jc w:val="center"/>
              <w:rPr>
                <w:rFonts w:hint="eastAsia" w:ascii="仿宋_GB2312" w:hAnsi="仿宋_GB2312" w:eastAsia="仿宋_GB2312" w:cs="仿宋_GB2312"/>
                <w:kern w:val="0"/>
                <w:szCs w:val="21"/>
              </w:rPr>
            </w:pPr>
          </w:p>
        </w:tc>
        <w:tc>
          <w:tcPr>
            <w:tcW w:w="1339" w:type="dxa"/>
            <w:noWrap w:val="0"/>
            <w:vAlign w:val="center"/>
          </w:tcPr>
          <w:p>
            <w:pPr>
              <w:jc w:val="center"/>
              <w:rPr>
                <w:rFonts w:hint="eastAsia" w:ascii="仿宋_GB2312" w:hAnsi="仿宋_GB2312" w:eastAsia="仿宋_GB2312" w:cs="仿宋_GB2312"/>
                <w:kern w:val="0"/>
                <w:szCs w:val="21"/>
              </w:rPr>
            </w:pPr>
          </w:p>
        </w:tc>
        <w:tc>
          <w:tcPr>
            <w:tcW w:w="1487" w:type="dxa"/>
            <w:noWrap w:val="0"/>
            <w:vAlign w:val="center"/>
          </w:tcPr>
          <w:p>
            <w:pPr>
              <w:jc w:val="center"/>
              <w:rPr>
                <w:rFonts w:hint="eastAsia" w:ascii="仿宋_GB2312" w:hAnsi="仿宋_GB2312" w:eastAsia="仿宋_GB2312" w:cs="仿宋_GB2312"/>
                <w:szCs w:val="21"/>
              </w:rPr>
            </w:pPr>
          </w:p>
        </w:tc>
        <w:tc>
          <w:tcPr>
            <w:tcW w:w="1419" w:type="dxa"/>
            <w:noWrap w:val="0"/>
            <w:vAlign w:val="center"/>
          </w:tcPr>
          <w:p>
            <w:pPr>
              <w:jc w:val="center"/>
              <w:rPr>
                <w:rFonts w:hint="eastAsia" w:ascii="仿宋_GB2312" w:hAnsi="仿宋_GB2312" w:eastAsia="仿宋_GB2312" w:cs="仿宋_GB2312"/>
                <w:szCs w:val="21"/>
              </w:rPr>
            </w:pPr>
          </w:p>
        </w:tc>
        <w:tc>
          <w:tcPr>
            <w:tcW w:w="1610" w:type="dxa"/>
            <w:noWrap w:val="0"/>
            <w:vAlign w:val="center"/>
          </w:tcPr>
          <w:p>
            <w:pPr>
              <w:jc w:val="center"/>
              <w:rPr>
                <w:rFonts w:hint="eastAsia" w:ascii="仿宋_GB2312" w:hAnsi="仿宋_GB2312" w:eastAsia="仿宋_GB2312" w:cs="仿宋_GB2312"/>
                <w:szCs w:val="21"/>
              </w:rPr>
            </w:pPr>
          </w:p>
        </w:tc>
        <w:tc>
          <w:tcPr>
            <w:tcW w:w="1772" w:type="dxa"/>
            <w:gridSpan w:val="2"/>
            <w:noWrap w:val="0"/>
            <w:vAlign w:val="center"/>
          </w:tcPr>
          <w:p>
            <w:pPr>
              <w:jc w:val="center"/>
              <w:rPr>
                <w:rFonts w:hint="eastAsia" w:ascii="仿宋_GB2312" w:hAnsi="仿宋_GB2312" w:eastAsia="仿宋_GB2312" w:cs="仿宋_GB2312"/>
                <w:szCs w:val="21"/>
              </w:rPr>
            </w:pPr>
          </w:p>
        </w:tc>
        <w:tc>
          <w:tcPr>
            <w:tcW w:w="1901" w:type="dxa"/>
            <w:gridSpan w:val="2"/>
            <w:noWrap w:val="0"/>
            <w:vAlign w:val="center"/>
          </w:tcPr>
          <w:p>
            <w:pPr>
              <w:jc w:val="center"/>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填表人：                                              联系电话：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pPr>
      <w:r>
        <w:rPr>
          <w:rFonts w:hint="eastAsia" w:ascii="仿宋_GB2312" w:hAnsi="仿宋_GB2312" w:eastAsia="仿宋_GB2312" w:cs="仿宋_GB2312"/>
          <w:kern w:val="0"/>
          <w:sz w:val="28"/>
          <w:szCs w:val="28"/>
        </w:rPr>
        <w:t>说明：数据统计表请按月于每月2</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日前上报。</w:t>
      </w:r>
    </w:p>
    <w:p>
      <w:pPr>
        <w:bidi w:val="0"/>
        <w:rPr>
          <w:rFonts w:hint="eastAsia"/>
          <w:lang w:eastAsia="zh-CN"/>
        </w:rPr>
      </w:pPr>
    </w:p>
    <w:sectPr>
      <w:pgSz w:w="16838" w:h="11906" w:orient="landscape"/>
      <w:pgMar w:top="1587" w:right="1928"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6350</wp:posOffset>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5pt;margin-top:-2.25pt;height:144pt;width:144pt;mso-position-horizontal-relative:margin;mso-wrap-style:none;z-index:251660288;mso-width-relative:page;mso-height-relative:page;" filled="f" stroked="f" coordsize="21600,21600" o:gfxdata="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vDlFDVAAAACAEAAA8AAAAAAAAAAQAgAAAAIgAAAGRycy9kb3ducmV2LnhtbFBL&#10;AQIUABQAAAAIAIdO4kC6jDgrMgIAAGEEAAAOAAAAAAAAAAEAIAAAACQBAABkcnMvZTJvRG9jLnht&#10;bFBLBQYAAAAABgAGAFkBAADI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769A"/>
    <w:rsid w:val="0E753084"/>
    <w:rsid w:val="13DE4280"/>
    <w:rsid w:val="158519AE"/>
    <w:rsid w:val="18B87AB2"/>
    <w:rsid w:val="1FAC1850"/>
    <w:rsid w:val="20024DB6"/>
    <w:rsid w:val="276B7077"/>
    <w:rsid w:val="29351051"/>
    <w:rsid w:val="2E1D4908"/>
    <w:rsid w:val="39532F6C"/>
    <w:rsid w:val="46CA769A"/>
    <w:rsid w:val="506E6A40"/>
    <w:rsid w:val="543C161F"/>
    <w:rsid w:val="55C41DE6"/>
    <w:rsid w:val="568E35FF"/>
    <w:rsid w:val="57724E6C"/>
    <w:rsid w:val="59AE1B2E"/>
    <w:rsid w:val="60DA62EE"/>
    <w:rsid w:val="60F871A3"/>
    <w:rsid w:val="63DF0BA1"/>
    <w:rsid w:val="682907EF"/>
    <w:rsid w:val="73672D8D"/>
    <w:rsid w:val="7B14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Cs w:val="21"/>
    </w:rPr>
  </w:style>
  <w:style w:type="paragraph" w:styleId="6">
    <w:name w:val="Date"/>
    <w:basedOn w:val="1"/>
    <w:next w:val="1"/>
    <w:qFormat/>
    <w:uiPriority w:val="0"/>
    <w:pPr>
      <w:widowControl w:val="0"/>
      <w:adjustRightInd/>
      <w:snapToGrid/>
      <w:spacing w:after="0"/>
      <w:jc w:val="both"/>
    </w:pPr>
    <w:rPr>
      <w:rFonts w:ascii="仿宋_GB2312" w:hAnsi="Times New Roman" w:eastAsia="仿宋_GB2312" w:cs="Times New Roman"/>
      <w:kern w:val="2"/>
      <w:sz w:val="32"/>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0">
    <w:name w:val="Body Text First Indent 2"/>
    <w:basedOn w:val="4"/>
    <w:qFormat/>
    <w:uiPriority w:val="0"/>
    <w:pPr>
      <w:ind w:firstLine="420" w:firstLineChars="200"/>
    </w:pPr>
    <w:rPr>
      <w:sz w:val="28"/>
      <w:szCs w:val="20"/>
    </w:rPr>
  </w:style>
  <w:style w:type="character" w:styleId="13">
    <w:name w:val="page number"/>
    <w:basedOn w:val="12"/>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2021-06-25T08:55:00Z</dcterms:created>
  <dc:creator>DELL</dc:creator>
  <cp:lastModifiedBy>曟曦</cp:lastModifiedBy>
  <dcterms:modified xsi:type="dcterms:W3CDTF">2022-02-21T08:43:23Z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5D1DF9FA52CD46AAB41EF9D52FECFE99</vt:lpwstr>
  </property>
</Properties>
</file>