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0" w:rsidRPr="006D45C6" w:rsidRDefault="00613E12">
      <w:pPr>
        <w:pStyle w:val="a4"/>
        <w:widowControl/>
        <w:spacing w:beforeAutospacing="0" w:afterAutospacing="0" w:line="560" w:lineRule="exact"/>
        <w:ind w:firstLine="420"/>
        <w:jc w:val="center"/>
        <w:rPr>
          <w:rFonts w:ascii="方正小标宋简体" w:eastAsia="方正小标宋简体" w:hAnsiTheme="majorEastAsia" w:cstheme="majorEastAsia" w:hint="eastAsia"/>
          <w:bCs/>
          <w:kern w:val="2"/>
          <w:sz w:val="44"/>
          <w:szCs w:val="44"/>
        </w:rPr>
      </w:pPr>
      <w:r w:rsidRPr="006D45C6">
        <w:rPr>
          <w:rFonts w:ascii="方正小标宋简体" w:eastAsia="方正小标宋简体" w:hAnsiTheme="majorEastAsia" w:cstheme="majorEastAsia" w:hint="eastAsia"/>
          <w:bCs/>
          <w:kern w:val="2"/>
          <w:sz w:val="44"/>
          <w:szCs w:val="44"/>
        </w:rPr>
        <w:t>《</w:t>
      </w:r>
      <w:r w:rsidR="006D45C6" w:rsidRPr="006D45C6">
        <w:rPr>
          <w:rFonts w:ascii="方正小标宋简体" w:eastAsia="方正小标宋简体" w:hAnsiTheme="majorEastAsia" w:cstheme="majorEastAsia" w:hint="eastAsia"/>
          <w:bCs/>
          <w:kern w:val="2"/>
          <w:sz w:val="44"/>
          <w:szCs w:val="44"/>
        </w:rPr>
        <w:t>绍兴市人民政府办公室关于印发绍兴市推进全省全域“无废城市”建设工作方案的通知</w:t>
      </w:r>
      <w:r w:rsidRPr="006D45C6">
        <w:rPr>
          <w:rFonts w:ascii="方正小标宋简体" w:eastAsia="方正小标宋简体" w:hAnsiTheme="majorEastAsia" w:cstheme="majorEastAsia" w:hint="eastAsia"/>
          <w:bCs/>
          <w:kern w:val="2"/>
          <w:sz w:val="44"/>
          <w:szCs w:val="44"/>
        </w:rPr>
        <w:t>》</w:t>
      </w:r>
      <w:r w:rsidRPr="006D45C6">
        <w:rPr>
          <w:rFonts w:ascii="方正小标宋简体" w:eastAsia="方正小标宋简体" w:hAnsiTheme="majorEastAsia" w:cstheme="majorEastAsia" w:hint="eastAsia"/>
          <w:bCs/>
          <w:kern w:val="2"/>
          <w:sz w:val="44"/>
          <w:szCs w:val="44"/>
        </w:rPr>
        <w:t>政策解读</w:t>
      </w:r>
    </w:p>
    <w:p w:rsidR="006D45C6" w:rsidRDefault="006D45C6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一、起草背景</w:t>
      </w:r>
    </w:p>
    <w:p w:rsidR="00A236E0" w:rsidRDefault="00613E12">
      <w:pPr>
        <w:pStyle w:val="a3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日，省政府印发了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《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浙江省全域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无废城市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建设工作方案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》（浙政办发〔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2020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，要求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2020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月底前，各设区市要制定出台务实管用的具体措施和进度安排，明确目标清单、责任清单、任务清单和项目清单。为深入贯彻省政府开展全省全域“无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废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城市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建设的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决定，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进一步提升《绍兴市“无废城市”建设试点工作实施方案》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（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绍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市委办发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〔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20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19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〕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96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号）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落实成效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作为制定本工作方案。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二、政策依据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（一）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《</w:t>
      </w:r>
      <w:r>
        <w:rPr>
          <w:rFonts w:ascii="Times New Roman" w:eastAsia="仿宋_GB2312" w:hAnsi="Times New Roman"/>
          <w:color w:val="000000"/>
          <w:sz w:val="32"/>
          <w:szCs w:val="30"/>
        </w:rPr>
        <w:t>浙江省全域</w:t>
      </w:r>
      <w:r>
        <w:rPr>
          <w:rFonts w:ascii="Times New Roman" w:eastAsia="仿宋_GB2312" w:hAnsi="Times New Roman"/>
          <w:color w:val="000000"/>
          <w:sz w:val="32"/>
          <w:szCs w:val="30"/>
        </w:rPr>
        <w:t>“</w:t>
      </w:r>
      <w:r>
        <w:rPr>
          <w:rFonts w:ascii="Times New Roman" w:eastAsia="仿宋_GB2312" w:hAnsi="Times New Roman"/>
          <w:color w:val="000000"/>
          <w:sz w:val="32"/>
          <w:szCs w:val="30"/>
        </w:rPr>
        <w:t>无废城市</w:t>
      </w:r>
      <w:r>
        <w:rPr>
          <w:rFonts w:ascii="Times New Roman" w:eastAsia="仿宋_GB2312" w:hAnsi="Times New Roman"/>
          <w:color w:val="000000"/>
          <w:sz w:val="32"/>
          <w:szCs w:val="30"/>
        </w:rPr>
        <w:t>”</w:t>
      </w:r>
      <w:r>
        <w:rPr>
          <w:rFonts w:ascii="Times New Roman" w:eastAsia="仿宋_GB2312" w:hAnsi="Times New Roman"/>
          <w:color w:val="000000"/>
          <w:sz w:val="32"/>
          <w:szCs w:val="30"/>
        </w:rPr>
        <w:t>建设工作方案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》（浙政办发〔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〕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号）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（二）《关于印发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&lt;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浙江省全域“无废城市”建设管理规程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&gt;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和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 &lt;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浙江省全域“无废城市”建设工作指标体系（试行）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 xml:space="preserve">&gt; 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的通知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0"/>
        </w:rPr>
        <w:t>》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0"/>
        </w:rPr>
        <w:t>（浙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土壤办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〔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2020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〕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号）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0"/>
        </w:rPr>
        <w:t>（三）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《绍兴市“无废城市”建设试点工作实施方案》（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0"/>
        </w:rPr>
        <w:t>绍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0"/>
        </w:rPr>
        <w:t>市委办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发〔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20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19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〕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96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号）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三、主要内容</w:t>
      </w:r>
    </w:p>
    <w:p w:rsidR="00A236E0" w:rsidRPr="006D45C6" w:rsidRDefault="00613E12" w:rsidP="006D45C6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 w:rsidRPr="006D45C6">
        <w:rPr>
          <w:rFonts w:ascii="Times New Roman" w:eastAsia="仿宋_GB2312" w:hAnsi="Times New Roman"/>
          <w:color w:val="000000"/>
          <w:sz w:val="32"/>
          <w:szCs w:val="30"/>
        </w:rPr>
        <w:t>共计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四大点</w:t>
      </w:r>
      <w:r w:rsidRPr="006D45C6">
        <w:rPr>
          <w:rFonts w:ascii="Times New Roman" w:eastAsia="仿宋_GB2312" w:hAnsi="Times New Roman"/>
          <w:color w:val="000000"/>
          <w:sz w:val="32"/>
          <w:szCs w:val="30"/>
        </w:rPr>
        <w:t>。第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一大点</w:t>
      </w:r>
      <w:r w:rsidRPr="006D45C6">
        <w:rPr>
          <w:rFonts w:ascii="Times New Roman" w:eastAsia="仿宋_GB2312" w:hAnsi="Times New Roman"/>
          <w:color w:val="000000"/>
          <w:sz w:val="32"/>
          <w:szCs w:val="30"/>
        </w:rPr>
        <w:t>总体要求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。第二大点为主要任务，共十点。分别为：（一）抓好源头管理，做到应</w:t>
      </w:r>
      <w:proofErr w:type="gramStart"/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减尽减</w:t>
      </w:r>
      <w:proofErr w:type="gramEnd"/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；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（二）强化分类贮存，做到应分尽分；（三）规范收集转运，做到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lastRenderedPageBreak/>
        <w:t>应收尽收；（四）补齐资源化利用短板，做到应用尽用；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（五）全面推进处置能力匹配化，做到应建必建；（六）坚持应管严管，全面营造高压严管常态化；（七）坚持应纳尽纳，全面构建管理手段信息化；（八）坚持创业兴业，全面培育治理行业产业化；（九）坚持问题导向，全面推动制度创新精准化；（十）实现</w:t>
      </w:r>
      <w:proofErr w:type="gramStart"/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长效常治</w:t>
      </w:r>
      <w:proofErr w:type="gramEnd"/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，全面夯实齐抓共管制度化。第三大点实施期限。要求绍兴市及下辖所有区、县（市）争取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2021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年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12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月底前全部完成全省全域“无废城市”建设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。四是保障措施。</w:t>
      </w:r>
      <w:proofErr w:type="gramStart"/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由</w:t>
      </w:r>
      <w:r w:rsidRPr="006D45C6">
        <w:rPr>
          <w:rFonts w:ascii="Times New Roman" w:eastAsia="仿宋_GB2312" w:hAnsi="Times New Roman"/>
          <w:color w:val="000000"/>
          <w:sz w:val="32"/>
          <w:szCs w:val="30"/>
        </w:rPr>
        <w:t>明确</w:t>
      </w:r>
      <w:proofErr w:type="gramEnd"/>
      <w:r w:rsidRPr="006D45C6">
        <w:rPr>
          <w:rFonts w:ascii="Times New Roman" w:eastAsia="仿宋_GB2312" w:hAnsi="Times New Roman"/>
          <w:color w:val="000000"/>
          <w:sz w:val="32"/>
          <w:szCs w:val="30"/>
        </w:rPr>
        <w:t>职责分工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、</w:t>
      </w:r>
      <w:r w:rsidRPr="006D45C6">
        <w:rPr>
          <w:rFonts w:ascii="Times New Roman" w:eastAsia="仿宋_GB2312" w:hAnsi="Times New Roman"/>
          <w:color w:val="000000"/>
          <w:sz w:val="32"/>
          <w:szCs w:val="30"/>
        </w:rPr>
        <w:t>强化督查考核</w:t>
      </w:r>
      <w:r w:rsidRPr="006D45C6">
        <w:rPr>
          <w:rFonts w:ascii="Times New Roman" w:eastAsia="仿宋_GB2312" w:hAnsi="Times New Roman" w:hint="eastAsia"/>
          <w:color w:val="000000"/>
          <w:sz w:val="32"/>
          <w:szCs w:val="30"/>
        </w:rPr>
        <w:t>、加强宣传引导三部分组成。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四、适用范围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0"/>
        </w:rPr>
        <w:t>本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方案</w:t>
      </w:r>
      <w:r>
        <w:rPr>
          <w:rFonts w:ascii="Times New Roman" w:eastAsia="仿宋_GB2312" w:hAnsi="Times New Roman"/>
          <w:color w:val="000000"/>
          <w:sz w:val="32"/>
          <w:szCs w:val="30"/>
        </w:rPr>
        <w:t>适用于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绍兴市行政区域</w:t>
      </w:r>
      <w:r>
        <w:rPr>
          <w:rFonts w:ascii="Times New Roman" w:eastAsia="仿宋_GB2312" w:hAnsi="Times New Roman"/>
          <w:color w:val="000000"/>
          <w:sz w:val="32"/>
          <w:szCs w:val="30"/>
        </w:rPr>
        <w:t>。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五、解读机关、解读人及联系方式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0"/>
        </w:rPr>
        <w:t>解读机关：绍兴市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生态环境局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0"/>
        </w:rPr>
        <w:t>解</w:t>
      </w:r>
      <w:r>
        <w:rPr>
          <w:rFonts w:ascii="Times New Roman" w:eastAsia="仿宋_GB2312" w:hAnsi="Times New Roman"/>
          <w:color w:val="000000"/>
          <w:sz w:val="32"/>
          <w:szCs w:val="30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0"/>
        </w:rPr>
        <w:t>读</w:t>
      </w:r>
      <w:r>
        <w:rPr>
          <w:rFonts w:ascii="Times New Roman" w:eastAsia="仿宋_GB2312" w:hAnsi="Times New Roman"/>
          <w:color w:val="000000"/>
          <w:sz w:val="32"/>
          <w:szCs w:val="30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0"/>
        </w:rPr>
        <w:t>人：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0"/>
        </w:rPr>
        <w:t>方林苗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0"/>
        </w:rPr>
        <w:t>、孔维泽</w:t>
      </w:r>
    </w:p>
    <w:p w:rsidR="00A236E0" w:rsidRDefault="00613E12">
      <w:pPr>
        <w:pStyle w:val="a4"/>
        <w:widowControl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0"/>
        </w:rPr>
        <w:t>联系电话：</w:t>
      </w:r>
      <w:r w:rsidR="006D45C6">
        <w:rPr>
          <w:rFonts w:ascii="Times New Roman" w:eastAsia="仿宋_GB2312" w:hAnsi="Times New Roman" w:hint="eastAsia"/>
          <w:color w:val="000000"/>
          <w:sz w:val="32"/>
          <w:szCs w:val="30"/>
        </w:rPr>
        <w:t>85159088</w:t>
      </w:r>
      <w:r w:rsidR="006D45C6">
        <w:rPr>
          <w:rFonts w:ascii="Times New Roman" w:eastAsia="仿宋_GB2312" w:hAnsi="Times New Roman" w:hint="eastAsia"/>
          <w:color w:val="000000"/>
          <w:sz w:val="32"/>
          <w:szCs w:val="30"/>
        </w:rPr>
        <w:t>、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0"/>
        </w:rPr>
        <w:t>8</w:t>
      </w:r>
      <w:r>
        <w:rPr>
          <w:rFonts w:ascii="Times New Roman" w:eastAsia="仿宋_GB2312" w:hAnsi="Times New Roman" w:hint="eastAsia"/>
          <w:color w:val="000000"/>
          <w:sz w:val="32"/>
          <w:szCs w:val="30"/>
        </w:rPr>
        <w:t>9115753</w:t>
      </w:r>
    </w:p>
    <w:p w:rsidR="00A236E0" w:rsidRDefault="00A236E0">
      <w:pPr>
        <w:widowControl/>
        <w:spacing w:line="560" w:lineRule="exact"/>
        <w:jc w:val="left"/>
      </w:pPr>
    </w:p>
    <w:p w:rsidR="00A236E0" w:rsidRDefault="00A236E0">
      <w:pPr>
        <w:widowControl/>
        <w:shd w:val="clear" w:color="auto" w:fill="FFFFFF"/>
        <w:spacing w:line="560" w:lineRule="exact"/>
        <w:jc w:val="left"/>
      </w:pPr>
    </w:p>
    <w:p w:rsidR="00A236E0" w:rsidRDefault="00A236E0">
      <w:pPr>
        <w:spacing w:line="560" w:lineRule="exact"/>
      </w:pPr>
    </w:p>
    <w:sectPr w:rsidR="00A23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12" w:rsidRDefault="00613E12" w:rsidP="006D45C6">
      <w:r>
        <w:separator/>
      </w:r>
    </w:p>
  </w:endnote>
  <w:endnote w:type="continuationSeparator" w:id="0">
    <w:p w:rsidR="00613E12" w:rsidRDefault="00613E12" w:rsidP="006D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12" w:rsidRDefault="00613E12" w:rsidP="006D45C6">
      <w:r>
        <w:separator/>
      </w:r>
    </w:p>
  </w:footnote>
  <w:footnote w:type="continuationSeparator" w:id="0">
    <w:p w:rsidR="00613E12" w:rsidRDefault="00613E12" w:rsidP="006D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C021F"/>
    <w:rsid w:val="00613E12"/>
    <w:rsid w:val="006D45C6"/>
    <w:rsid w:val="00A236E0"/>
    <w:rsid w:val="0F916C48"/>
    <w:rsid w:val="3EC22C05"/>
    <w:rsid w:val="49A679D3"/>
    <w:rsid w:val="594778B4"/>
    <w:rsid w:val="636C021F"/>
    <w:rsid w:val="77303872"/>
    <w:rsid w:val="77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rFonts w:ascii="黑体" w:eastAsia="黑体" w:hAnsi="黑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bsharetext">
    <w:name w:val="bsharetext"/>
    <w:basedOn w:val="a0"/>
    <w:qFormat/>
  </w:style>
  <w:style w:type="paragraph" w:styleId="a7">
    <w:name w:val="header"/>
    <w:basedOn w:val="a"/>
    <w:link w:val="Char"/>
    <w:rsid w:val="006D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45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D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D45C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rsid w:val="006D45C6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rFonts w:ascii="黑体" w:eastAsia="黑体" w:hAnsi="黑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bsharetext">
    <w:name w:val="bsharetext"/>
    <w:basedOn w:val="a0"/>
    <w:qFormat/>
  </w:style>
  <w:style w:type="paragraph" w:styleId="a7">
    <w:name w:val="header"/>
    <w:basedOn w:val="a"/>
    <w:link w:val="Char"/>
    <w:rsid w:val="006D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45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D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D45C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rsid w:val="006D45C6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413</Characters>
  <Application>Microsoft Office Word</Application>
  <DocSecurity>0</DocSecurity>
  <Lines>31</Lines>
  <Paragraphs>45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斯持恒</cp:lastModifiedBy>
  <cp:revision>2</cp:revision>
  <cp:lastPrinted>2020-07-23T08:17:00Z</cp:lastPrinted>
  <dcterms:created xsi:type="dcterms:W3CDTF">2020-07-13T03:38:00Z</dcterms:created>
  <dcterms:modified xsi:type="dcterms:W3CDTF">2020-08-27T01:47:00Z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