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00" w:lineRule="exact"/>
        <w:ind w:left="0" w:leftChars="0" w:right="0"/>
        <w:jc w:val="both"/>
        <w:textAlignment w:val="auto"/>
        <w:rPr>
          <w:rFonts w:hint="eastAsia"/>
          <w:bCs/>
          <w:sz w:val="44"/>
          <w:szCs w:val="44"/>
        </w:rPr>
      </w:pPr>
    </w:p>
    <w:p>
      <w:pPr>
        <w:widowControl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eastAsia" w:ascii="方正小标宋简体" w:hAnsi="宋体" w:eastAsia="方正小标宋简体" w:cs="宋体"/>
          <w:b/>
          <w:bCs/>
          <w:sz w:val="36"/>
          <w:szCs w:val="36"/>
        </w:rPr>
      </w:pPr>
    </w:p>
    <w:p>
      <w:pPr>
        <w:adjustRightInd w:val="0"/>
        <w:snapToGrid w:val="0"/>
        <w:spacing w:line="0" w:lineRule="atLeast"/>
        <w:jc w:val="center"/>
        <w:rPr>
          <w:rFonts w:hint="eastAsia" w:ascii="方正小标宋简体" w:hAnsi="宋体" w:eastAsia="方正小标宋简体" w:cs="宋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关于《</w:t>
      </w:r>
      <w:bookmarkStart w:id="0" w:name="filename"/>
      <w:r>
        <w:rPr>
          <w:rFonts w:hint="eastAsia" w:ascii="方正小标宋简体" w:hAnsi="宋体" w:eastAsia="方正小标宋简体" w:cs="宋体"/>
          <w:b/>
          <w:bCs/>
          <w:sz w:val="36"/>
          <w:szCs w:val="36"/>
          <w:lang w:eastAsia="zh-CN"/>
        </w:rPr>
        <w:t>绍兴市市级财政国库集中支付银行代理业务综合考核办法</w:t>
      </w:r>
      <w:bookmarkEnd w:id="0"/>
      <w:r>
        <w:rPr>
          <w:rFonts w:hint="eastAsia" w:ascii="方正小标宋简体" w:hAnsi="宋体" w:eastAsia="方正小标宋简体" w:cs="宋体"/>
          <w:b/>
          <w:bCs/>
          <w:sz w:val="36"/>
          <w:szCs w:val="36"/>
          <w:lang w:eastAsia="zh-CN"/>
        </w:rPr>
        <w:t>》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</w:rPr>
        <w:t>的</w:t>
      </w:r>
      <w:r>
        <w:rPr>
          <w:rFonts w:hint="eastAsia" w:ascii="方正小标宋简体" w:hAnsi="宋体" w:eastAsia="方正小标宋简体" w:cs="宋体"/>
          <w:b/>
          <w:bCs/>
          <w:sz w:val="36"/>
          <w:szCs w:val="36"/>
          <w:lang w:eastAsia="zh-CN"/>
        </w:rPr>
        <w:t>政策解读</w:t>
      </w:r>
    </w:p>
    <w:p>
      <w:pPr>
        <w:widowControl w:val="0"/>
        <w:adjustRightInd/>
        <w:snapToGrid/>
        <w:spacing w:line="500" w:lineRule="exact"/>
        <w:ind w:left="0" w:leftChars="0" w:right="0"/>
        <w:jc w:val="center"/>
        <w:textAlignment w:val="auto"/>
        <w:rPr>
          <w:rFonts w:hint="eastAsia" w:ascii="方正小标宋简体" w:hAnsi="宋体" w:eastAsia="方正小标宋简体" w:cs="宋体"/>
          <w:b/>
          <w:bCs/>
          <w:sz w:val="44"/>
          <w:szCs w:val="44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根据《绍兴市人民政府办公室关于做好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行政规范性文件政策解读工作的通知》（绍政办综〔2015〕22号）的有关要求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，现将市财政局印发的《绍兴市市级财政国库集中支付银行代理业务综合考核办法》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（绍财预执[2019]7号）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有关政策解读如下：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一、制定背景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绍兴市财政局于2017年制定了《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绍兴市市级财政国库集中支付银行代理业务综合考核办法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》（绍财预执[2017]6号）。</w:t>
      </w:r>
      <w:r>
        <w:rPr>
          <w:rFonts w:hint="eastAsia" w:ascii="仿宋_GB2312" w:eastAsia="仿宋_GB2312"/>
          <w:kern w:val="0"/>
          <w:sz w:val="32"/>
          <w:szCs w:val="32"/>
        </w:rPr>
        <w:t>为进一步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促进市级财政国库集中支付代理银行提高代理业务水平和服务质量，规范代理银行支付与清算行为，确保财政性资金安全、规范和高效运行</w:t>
      </w:r>
      <w:r>
        <w:rPr>
          <w:rFonts w:hint="eastAsia" w:ascii="仿宋_GB2312" w:eastAsia="仿宋_GB2312"/>
          <w:kern w:val="0"/>
          <w:sz w:val="32"/>
          <w:szCs w:val="32"/>
        </w:rPr>
        <w:t>，根据市财政国库管理制度改革相关规定，参照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省财政厅</w:t>
      </w:r>
      <w:r>
        <w:rPr>
          <w:rFonts w:hint="eastAsia" w:ascii="仿宋_GB2312" w:eastAsia="仿宋_GB2312"/>
          <w:kern w:val="0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</w:rPr>
        <w:t>浙江省省级财政国库集中支付银行代理业务综合考核办法</w:t>
      </w:r>
      <w:r>
        <w:rPr>
          <w:rFonts w:hint="eastAsia" w:ascii="仿宋_GB2312" w:eastAsia="仿宋_GB2312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浙财预执〔201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kern w:val="0"/>
          <w:sz w:val="32"/>
          <w:szCs w:val="32"/>
        </w:rPr>
        <w:t>，结合我市实际，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市财政局在征求市级四家代理银行意见的基础上，重新修订了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《绍兴市市级财政国库集中支付银行代理业务综合考核办法》。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二、政策主要内容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银行代理业务综合考核办法</w:t>
      </w:r>
      <w:r>
        <w:rPr>
          <w:rFonts w:hint="eastAsia" w:ascii="仿宋_GB2312" w:eastAsia="仿宋_GB2312"/>
          <w:kern w:val="0"/>
          <w:sz w:val="32"/>
          <w:szCs w:val="32"/>
        </w:rPr>
        <w:t>》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共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31条，主要内容归纳如下：                                                                          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eastAsia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仿宋_GB2312" w:eastAsia="仿宋_GB2312"/>
          <w:kern w:val="0"/>
          <w:sz w:val="32"/>
          <w:szCs w:val="32"/>
        </w:rPr>
        <w:t>明确了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综合考核的组成部分</w:t>
      </w:r>
      <w:r>
        <w:rPr>
          <w:rFonts w:hint="default" w:ascii="仿宋_GB2312" w:eastAsia="仿宋_GB2312"/>
          <w:kern w:val="0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综合考核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包括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代理银行服务质量问卷调查考核、代理银行协议履行情况考核和代理银行年度报告考核</w:t>
      </w:r>
      <w:r>
        <w:rPr>
          <w:rFonts w:hint="eastAsia" w:ascii="仿宋_GB2312" w:eastAsia="仿宋_GB2312"/>
          <w:color w:val="auto"/>
          <w:spacing w:val="0"/>
          <w:sz w:val="32"/>
          <w:szCs w:val="32"/>
          <w:lang w:eastAsia="zh-CN"/>
        </w:rPr>
        <w:t>三部分。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调整</w:t>
      </w:r>
      <w:r>
        <w:rPr>
          <w:rFonts w:hint="default" w:ascii="仿宋_GB2312" w:eastAsia="仿宋_GB2312"/>
          <w:kern w:val="0"/>
          <w:sz w:val="32"/>
          <w:szCs w:val="32"/>
        </w:rPr>
        <w:t>了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考核各部分的量化计分标准</w:t>
      </w:r>
      <w:r>
        <w:rPr>
          <w:rFonts w:hint="default" w:ascii="仿宋_GB2312" w:eastAsia="仿宋_GB2312"/>
          <w:kern w:val="0"/>
          <w:sz w:val="32"/>
          <w:szCs w:val="32"/>
        </w:rPr>
        <w:t>。代理银行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服务质量问卷调查考核由满分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30分提高到50分；代理银行协议履行情况考核满分由60分调整为45分；代理银行年度报告满分由10分调整为5分。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</w:rPr>
      </w:pPr>
      <w:r>
        <w:rPr>
          <w:rFonts w:hint="default" w:ascii="仿宋_GB2312" w:eastAsia="仿宋_GB2312"/>
          <w:kern w:val="0"/>
          <w:sz w:val="32"/>
          <w:szCs w:val="32"/>
        </w:rPr>
        <w:t>“奖优罚劣”的原则。代理银行年度业务代理手续费与年度综合考核结果挂钩。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按</w:t>
      </w:r>
      <w:r>
        <w:rPr>
          <w:rFonts w:hint="eastAsia" w:ascii="仿宋_GB2312" w:eastAsia="仿宋_GB2312"/>
          <w:color w:val="auto"/>
          <w:spacing w:val="0"/>
          <w:sz w:val="32"/>
          <w:szCs w:val="32"/>
        </w:rPr>
        <w:t>年度综合考核得分评定国库集中支付银行的代理业务水平等级，分为优、合格、基本合格、不合格四个等级，90分以上（含90分）为优，90—80分（含80分）为“合格”，80-70分（含70分）为基本合格，70分以下为不合格。</w:t>
      </w:r>
      <w:r>
        <w:rPr>
          <w:rFonts w:hint="default" w:ascii="仿宋_GB2312" w:eastAsia="仿宋_GB2312"/>
          <w:kern w:val="0"/>
          <w:sz w:val="32"/>
          <w:szCs w:val="32"/>
        </w:rPr>
        <w:t>综合考核结果为“合格”的，业务代理手续费按标准100%付费；对代理银行年度考核结果为“优”的，手续费在按标准计算的手续费总额基础上上浮15%；考核结果为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基本合格</w:t>
      </w:r>
      <w:r>
        <w:rPr>
          <w:rFonts w:hint="default" w:ascii="仿宋_GB2312" w:eastAsia="仿宋_GB2312"/>
          <w:kern w:val="0"/>
          <w:sz w:val="32"/>
          <w:szCs w:val="32"/>
        </w:rPr>
        <w:t>“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和“</w:t>
      </w:r>
      <w:r>
        <w:rPr>
          <w:rFonts w:hint="default" w:ascii="仿宋_GB2312" w:eastAsia="仿宋_GB2312"/>
          <w:kern w:val="0"/>
          <w:sz w:val="32"/>
          <w:szCs w:val="32"/>
        </w:rPr>
        <w:t>不合格”的，手续费在按标准计算的手续费总额基础上下浮15%。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</w:rPr>
      </w:pPr>
      <w:r>
        <w:rPr>
          <w:rFonts w:hint="default" w:ascii="仿宋_GB2312" w:eastAsia="仿宋_GB2312"/>
          <w:kern w:val="0"/>
          <w:sz w:val="32"/>
          <w:szCs w:val="32"/>
        </w:rPr>
        <w:t>三、解读机关和联系方式</w:t>
      </w:r>
    </w:p>
    <w:p>
      <w:pPr>
        <w:widowControl w:val="0"/>
        <w:wordWrap/>
        <w:adjustRightInd/>
        <w:snapToGrid/>
        <w:spacing w:line="50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eastAsia="仿宋_GB2312"/>
          <w:kern w:val="0"/>
          <w:sz w:val="32"/>
          <w:szCs w:val="32"/>
        </w:rPr>
      </w:pPr>
      <w:r>
        <w:rPr>
          <w:rFonts w:hint="default" w:ascii="仿宋_GB2312" w:eastAsia="仿宋_GB2312"/>
          <w:kern w:val="0"/>
          <w:sz w:val="32"/>
          <w:szCs w:val="32"/>
        </w:rPr>
        <w:t>《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考核</w:t>
      </w:r>
      <w:r>
        <w:rPr>
          <w:rFonts w:hint="default" w:ascii="仿宋_GB2312" w:eastAsia="仿宋_GB2312"/>
          <w:kern w:val="0"/>
          <w:sz w:val="32"/>
          <w:szCs w:val="32"/>
        </w:rPr>
        <w:t>办法》由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市财政局</w:t>
      </w:r>
      <w:r>
        <w:rPr>
          <w:rFonts w:hint="default" w:ascii="仿宋_GB2312" w:eastAsia="仿宋_GB2312"/>
          <w:kern w:val="0"/>
          <w:sz w:val="32"/>
          <w:szCs w:val="32"/>
        </w:rPr>
        <w:t>负责解读，具体联系处室为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</w:t>
      </w:r>
      <w:r>
        <w:rPr>
          <w:rFonts w:hint="default" w:ascii="仿宋_GB2312" w:eastAsia="仿宋_GB2312"/>
          <w:kern w:val="0"/>
          <w:sz w:val="32"/>
          <w:szCs w:val="32"/>
        </w:rPr>
        <w:t>财政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局</w:t>
      </w:r>
      <w:r>
        <w:rPr>
          <w:rFonts w:hint="default" w:ascii="仿宋_GB2312" w:eastAsia="仿宋_GB2312"/>
          <w:kern w:val="0"/>
          <w:sz w:val="32"/>
          <w:szCs w:val="32"/>
        </w:rPr>
        <w:t>预算执行局，联系电话057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default" w:ascii="仿宋_GB2312" w:eastAsia="仿宋_GB2312"/>
          <w:kern w:val="0"/>
          <w:sz w:val="32"/>
          <w:szCs w:val="32"/>
        </w:rPr>
        <w:t>-8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5209626</w:t>
      </w:r>
      <w:r>
        <w:rPr>
          <w:rFonts w:hint="default" w:ascii="仿宋_GB2312" w:eastAsia="仿宋_GB2312"/>
          <w:kern w:val="0"/>
          <w:sz w:val="32"/>
          <w:szCs w:val="32"/>
        </w:rPr>
        <w:t>。</w:t>
      </w:r>
    </w:p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utura Bk">
    <w:altName w:val="Shruti"/>
    <w:panose1 w:val="020B0502020204020303"/>
    <w:charset w:val="00"/>
    <w:family w:val="auto"/>
    <w:pitch w:val="default"/>
    <w:sig w:usb0="00000000" w:usb1="00000000" w:usb2="00000000" w:usb3="00000000" w:csb0="0000009F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ZF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5973060"/>
    <w:rsid w:val="06E6580B"/>
    <w:rsid w:val="0A616013"/>
    <w:rsid w:val="2F2B1685"/>
    <w:rsid w:val="2F996006"/>
    <w:rsid w:val="3B221CA6"/>
    <w:rsid w:val="4D7735BA"/>
    <w:rsid w:val="4EBB41B0"/>
    <w:rsid w:val="50452453"/>
    <w:rsid w:val="61276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2020-03-27T22:21:00Z</dcterms:created>
  <dc:creator>admin</dc:creator>
  <cp:lastModifiedBy>陈小明</cp:lastModifiedBy>
  <dcterms:modified xsi:type="dcterms:W3CDTF">2020-03-30T07:16:51Z</dcterms:modified>
  <dc:title>关于《绍兴市市级财政国库集中支付代理银行手续费计付管理办法》的政策解读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