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val="0"/>
          <w:bCs w:val="0"/>
        </w:rPr>
      </w:pPr>
      <w:r>
        <w:rPr>
          <w:rFonts w:ascii="仿宋" w:hAnsi="仿宋" w:eastAsia="仿宋"/>
          <w:b w:val="0"/>
          <w:bCs w:val="0"/>
        </w:rPr>
        <w:pict>
          <v:shape id="_x0000_s2050" o:spid="_x0000_s2050" o:spt="172" type="#_x0000_t172" style="position:absolute;left:0pt;margin-left:0.75pt;margin-top:95.15pt;height:37.55pt;width:433.75pt;z-index:1024;mso-width-relative:page;mso-height-relative:page;" fillcolor="#FF0000" filled="t" stroked="t" coordsize="21600,21600" adj="0">
            <v:path/>
            <v:fill on="t" focussize="0,0"/>
            <v:stroke color="#FF0000"/>
            <v:imagedata o:title=""/>
            <o:lock v:ext="edit"/>
            <v:textpath on="t" fitshape="t" fitpath="t" trim="t" xscale="f" string="绍兴市市场监督管理局文件" style="font-family:宋体;font-size:36pt;font-weight:bold;v-text-align:center;"/>
          </v:shape>
        </w:pict>
      </w:r>
      <w:r>
        <w:rPr>
          <w:rFonts w:ascii="仿宋" w:hAnsi="仿宋" w:eastAsia="仿宋"/>
          <w:b w:val="0"/>
          <w:bCs w:val="0"/>
        </w:rPr>
        <w:pict>
          <v:line id="_x0000_s2051" o:spid="_x0000_s2051" o:spt="20" style="position:absolute;left:0pt;margin-left:0.3pt;margin-top:209.3pt;height:0.75pt;width:442.1pt;z-index:1024;mso-width-relative:page;mso-height-relative:page;" stroked="t" coordsize="21600,21600">
            <v:path arrowok="t"/>
            <v:fill focussize="0,0"/>
            <v:stroke weight="2.25pt" color="#FF0000"/>
            <v:imagedata o:title=""/>
            <o:lock v:ext="edit"/>
          </v:line>
        </w:pict>
      </w:r>
    </w:p>
    <w:p>
      <w:pPr>
        <w:rPr>
          <w:rFonts w:ascii="仿宋" w:hAnsi="仿宋" w:eastAsia="仿宋"/>
          <w:b w:val="0"/>
          <w:bCs w:val="0"/>
        </w:rPr>
      </w:pPr>
    </w:p>
    <w:p>
      <w:pPr>
        <w:tabs>
          <w:tab w:val="left" w:pos="6840"/>
        </w:tabs>
        <w:rPr>
          <w:rFonts w:ascii="仿宋" w:hAnsi="仿宋" w:eastAsia="仿宋"/>
          <w:b w:val="0"/>
          <w:bCs w:val="0"/>
        </w:rPr>
      </w:pPr>
      <w:r>
        <w:rPr>
          <w:rFonts w:ascii="仿宋" w:hAnsi="仿宋" w:eastAsia="仿宋"/>
          <w:b w:val="0"/>
          <w:bCs w:val="0"/>
        </w:rPr>
        <w:tab/>
      </w:r>
    </w:p>
    <w:p>
      <w:pPr>
        <w:tabs>
          <w:tab w:val="left" w:pos="5850"/>
        </w:tabs>
        <w:rPr>
          <w:rFonts w:ascii="仿宋" w:hAnsi="仿宋" w:eastAsia="仿宋"/>
          <w:b w:val="0"/>
          <w:bCs w:val="0"/>
        </w:rPr>
      </w:pPr>
      <w:r>
        <w:rPr>
          <w:rFonts w:ascii="仿宋" w:hAnsi="仿宋" w:eastAsia="仿宋"/>
          <w:b w:val="0"/>
          <w:bCs w:val="0"/>
        </w:rPr>
        <w:tab/>
      </w:r>
    </w:p>
    <w:p>
      <w:pPr>
        <w:tabs>
          <w:tab w:val="left" w:pos="5850"/>
        </w:tabs>
        <w:rPr>
          <w:rFonts w:ascii="仿宋" w:hAnsi="仿宋" w:eastAsia="仿宋"/>
          <w:b w:val="0"/>
          <w:bCs w:val="0"/>
        </w:rPr>
      </w:pPr>
    </w:p>
    <w:p>
      <w:pPr>
        <w:spacing w:line="480" w:lineRule="exact"/>
        <w:rPr>
          <w:rFonts w:ascii="仿宋" w:hAnsi="仿宋" w:eastAsia="仿宋"/>
          <w:b w:val="0"/>
          <w:bCs w:val="0"/>
        </w:rPr>
      </w:pPr>
    </w:p>
    <w:p>
      <w:pPr>
        <w:spacing w:line="580" w:lineRule="exact"/>
        <w:jc w:val="center"/>
        <w:rPr>
          <w:rFonts w:ascii="仿宋" w:hAnsi="仿宋" w:eastAsia="仿宋"/>
          <w:b w:val="0"/>
          <w:bCs w:val="0"/>
        </w:rPr>
      </w:pPr>
      <w:r>
        <w:rPr>
          <w:rFonts w:hint="eastAsia" w:ascii="仿宋" w:hAnsi="仿宋" w:eastAsia="仿宋" w:cs="仿宋_GB2312"/>
          <w:b w:val="0"/>
          <w:bCs w:val="0"/>
        </w:rPr>
        <w:t>绍市监管食综〔</w:t>
      </w:r>
      <w:r>
        <w:rPr>
          <w:rFonts w:hint="eastAsia" w:ascii="仿宋" w:hAnsi="仿宋" w:eastAsia="仿宋" w:cs="仿宋_GB2312"/>
          <w:b w:val="0"/>
          <w:bCs w:val="0"/>
          <w:lang w:eastAsia="zh-CN"/>
        </w:rPr>
        <w:t>2020</w:t>
      </w:r>
      <w:r>
        <w:rPr>
          <w:rFonts w:hint="eastAsia" w:ascii="仿宋" w:hAnsi="仿宋" w:eastAsia="仿宋" w:cs="仿宋_GB2312"/>
          <w:b w:val="0"/>
          <w:bCs w:val="0"/>
        </w:rPr>
        <w:t>〕</w:t>
      </w:r>
      <w:r>
        <w:rPr>
          <w:rFonts w:ascii="仿宋" w:hAnsi="仿宋" w:eastAsia="仿宋" w:cs="仿宋_GB2312"/>
          <w:b w:val="0"/>
          <w:bCs w:val="0"/>
        </w:rPr>
        <w:t>1</w:t>
      </w:r>
      <w:r>
        <w:rPr>
          <w:rFonts w:hint="eastAsia" w:ascii="仿宋" w:hAnsi="仿宋" w:eastAsia="仿宋" w:cs="仿宋_GB2312"/>
          <w:b w:val="0"/>
          <w:bCs w:val="0"/>
        </w:rPr>
        <w:t>号</w:t>
      </w:r>
    </w:p>
    <w:p>
      <w:pPr>
        <w:spacing w:line="0" w:lineRule="atLeast"/>
        <w:rPr>
          <w:rFonts w:ascii="仿宋" w:hAnsi="仿宋" w:eastAsia="仿宋"/>
          <w:b w:val="0"/>
          <w:bCs w:val="0"/>
          <w:sz w:val="28"/>
          <w:szCs w:val="28"/>
        </w:rPr>
      </w:pPr>
    </w:p>
    <w:p>
      <w:pPr>
        <w:spacing w:line="0" w:lineRule="atLeast"/>
        <w:rPr>
          <w:rFonts w:ascii="仿宋" w:hAnsi="仿宋" w:eastAsia="仿宋"/>
          <w:b w:val="0"/>
          <w:bCs w:val="0"/>
          <w:sz w:val="28"/>
          <w:szCs w:val="28"/>
        </w:rPr>
      </w:pPr>
    </w:p>
    <w:p>
      <w:pPr>
        <w:spacing w:line="0" w:lineRule="atLeast"/>
        <w:rPr>
          <w:rFonts w:ascii="仿宋" w:hAnsi="仿宋" w:eastAsia="仿宋"/>
          <w:b w:val="0"/>
          <w:bCs w:val="0"/>
          <w:sz w:val="28"/>
          <w:szCs w:val="28"/>
        </w:rPr>
      </w:pPr>
    </w:p>
    <w:p>
      <w:pPr>
        <w:spacing w:line="0" w:lineRule="atLeast"/>
        <w:rPr>
          <w:rFonts w:ascii="仿宋" w:hAnsi="仿宋" w:eastAsia="仿宋"/>
          <w:b w:val="0"/>
          <w:bCs w:val="0"/>
          <w:sz w:val="28"/>
          <w:szCs w:val="28"/>
        </w:rPr>
      </w:pP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eastAsia" w:ascii="方正小标宋简体" w:hAnsi="宋体" w:eastAsia="方正小标宋简体" w:cs="方正小标宋简体"/>
          <w:b w:val="0"/>
          <w:bCs w:val="0"/>
          <w:sz w:val="44"/>
          <w:szCs w:val="44"/>
          <w:lang w:val="en-US" w:eastAsia="zh-CN"/>
        </w:rPr>
      </w:pPr>
      <w:r>
        <w:rPr>
          <w:rFonts w:hint="eastAsia" w:ascii="方正小标宋简体" w:hAnsi="宋体" w:eastAsia="方正小标宋简体" w:cs="方正小标宋简体"/>
          <w:b w:val="0"/>
          <w:bCs w:val="0"/>
          <w:sz w:val="44"/>
          <w:szCs w:val="44"/>
          <w:lang w:val="en-US" w:eastAsia="zh-CN"/>
        </w:rPr>
        <w:t>绍兴市市场监督管理局关于印发《绍兴市</w:t>
      </w: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eastAsia" w:ascii="方正小标宋简体" w:hAnsi="宋体" w:eastAsia="方正小标宋简体" w:cs="方正小标宋简体"/>
          <w:b w:val="0"/>
          <w:bCs w:val="0"/>
          <w:sz w:val="44"/>
          <w:szCs w:val="44"/>
          <w:lang w:val="en-US" w:eastAsia="zh-CN"/>
        </w:rPr>
      </w:pPr>
      <w:r>
        <w:rPr>
          <w:rFonts w:hint="eastAsia" w:ascii="方正小标宋简体" w:hAnsi="宋体" w:eastAsia="方正小标宋简体" w:cs="方正小标宋简体"/>
          <w:b w:val="0"/>
          <w:bCs w:val="0"/>
          <w:sz w:val="44"/>
          <w:szCs w:val="44"/>
          <w:lang w:val="en-US" w:eastAsia="zh-CN"/>
        </w:rPr>
        <w:t>食品安全抽检监测核</w:t>
      </w:r>
      <w:bookmarkStart w:id="0" w:name="_GoBack"/>
      <w:bookmarkEnd w:id="0"/>
      <w:r>
        <w:rPr>
          <w:rFonts w:hint="eastAsia" w:ascii="方正小标宋简体" w:hAnsi="宋体" w:eastAsia="方正小标宋简体" w:cs="方正小标宋简体"/>
          <w:b w:val="0"/>
          <w:bCs w:val="0"/>
          <w:sz w:val="44"/>
          <w:szCs w:val="44"/>
          <w:lang w:val="en-US" w:eastAsia="zh-CN"/>
        </w:rPr>
        <w:t>查处置工作</w:t>
      </w: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eastAsia" w:ascii="方正小标宋简体" w:hAnsi="宋体" w:eastAsia="方正小标宋简体" w:cs="方正小标宋简体"/>
          <w:b w:val="0"/>
          <w:bCs w:val="0"/>
          <w:sz w:val="44"/>
          <w:szCs w:val="44"/>
          <w:lang w:val="en-US" w:eastAsia="zh-CN"/>
        </w:rPr>
      </w:pPr>
      <w:r>
        <w:rPr>
          <w:rFonts w:hint="eastAsia" w:ascii="方正小标宋简体" w:hAnsi="宋体" w:eastAsia="方正小标宋简体" w:cs="方正小标宋简体"/>
          <w:b w:val="0"/>
          <w:bCs w:val="0"/>
          <w:sz w:val="44"/>
          <w:szCs w:val="44"/>
          <w:lang w:val="en-US" w:eastAsia="zh-CN"/>
        </w:rPr>
        <w:t>办法（暂行）》的通知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cs="仿宋"/>
          <w:b w:val="0"/>
          <w:bCs w:val="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各</w:t>
      </w:r>
      <w:r>
        <w:rPr>
          <w:rFonts w:hint="eastAsia" w:ascii="仿宋" w:hAnsi="仿宋" w:eastAsia="仿宋" w:cs="仿宋"/>
          <w:b w:val="0"/>
          <w:bCs w:val="0"/>
          <w:w w:val="95"/>
          <w:kern w:val="0"/>
          <w:sz w:val="32"/>
          <w:szCs w:val="32"/>
          <w:lang w:val="en-US" w:eastAsia="zh-CN" w:bidi="ar"/>
        </w:rPr>
        <w:t>区、县(市）市场监督管理局，市局食品监管相关处室、直属单位：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不合格（问题）食品核查处置工作是依法加强食品安全监管的核心任务，是督促企业落实主体责任、提升质量管控水平的重要手段，是消除食品安全隐患、保障公众食品安全的重要措施。为进一步规范不合格（问题）食品核查处置工作，优化处置流程，根据《食品安全抽样检验管理办法》《浙江省市场监管系统食品安全抽检监测核查处置工作指导意见》等要求，市局制定了《绍兴市食品安全抽检监测核查处置工作办法（暂行）》（以下简称《办法》），现印发给你们，各地务必高度重视，结合实际抓好落实，确保产品控制到位、原因排查到位、整改落实到位、行政处罚到位、信息公开到位。</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32" w:firstLineChars="200"/>
        <w:jc w:val="right"/>
        <w:textAlignment w:val="auto"/>
        <w:rPr>
          <w:rFonts w:hint="eastAsia" w:ascii="仿宋" w:hAnsi="仿宋" w:eastAsia="仿宋" w:cs="仿宋_GB2312"/>
          <w:b w:val="0"/>
          <w:bCs w:val="0"/>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32" w:firstLineChars="200"/>
        <w:jc w:val="right"/>
        <w:textAlignment w:val="auto"/>
        <w:rPr>
          <w:rFonts w:hint="eastAsia" w:ascii="仿宋" w:hAnsi="仿宋" w:eastAsia="仿宋" w:cs="仿宋_GB2312"/>
          <w:b w:val="0"/>
          <w:bCs w:val="0"/>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32" w:firstLineChars="200"/>
        <w:jc w:val="right"/>
        <w:textAlignment w:val="auto"/>
        <w:rPr>
          <w:rFonts w:ascii="仿宋" w:hAnsi="仿宋" w:eastAsia="仿宋"/>
          <w:b w:val="0"/>
          <w:bCs w:val="0"/>
        </w:rPr>
      </w:pPr>
      <w:r>
        <w:rPr>
          <w:rFonts w:hint="eastAsia" w:ascii="仿宋" w:hAnsi="仿宋" w:eastAsia="仿宋" w:cs="仿宋_GB2312"/>
          <w:b w:val="0"/>
          <w:bCs w:val="0"/>
        </w:rPr>
        <w:t>绍兴市市场监督管理局</w:t>
      </w:r>
      <w:r>
        <w:rPr>
          <w:rFonts w:ascii="仿宋" w:hAnsi="仿宋" w:eastAsia="仿宋" w:cs="仿宋_GB2312"/>
          <w:b w:val="0"/>
          <w:bCs w:val="0"/>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32" w:firstLineChars="200"/>
        <w:jc w:val="right"/>
        <w:textAlignment w:val="auto"/>
        <w:rPr>
          <w:rFonts w:ascii="仿宋" w:hAnsi="仿宋" w:eastAsia="仿宋"/>
          <w:b w:val="0"/>
          <w:bCs w:val="0"/>
        </w:rPr>
      </w:pPr>
      <w:r>
        <w:rPr>
          <w:rFonts w:hint="eastAsia" w:ascii="仿宋" w:hAnsi="仿宋" w:eastAsia="仿宋" w:cs="仿宋_GB2312"/>
          <w:b w:val="0"/>
          <w:bCs w:val="0"/>
          <w:lang w:eastAsia="zh-CN"/>
        </w:rPr>
        <w:t>2020</w:t>
      </w:r>
      <w:r>
        <w:rPr>
          <w:rFonts w:hint="eastAsia" w:ascii="仿宋" w:hAnsi="仿宋" w:eastAsia="仿宋" w:cs="仿宋_GB2312"/>
          <w:b w:val="0"/>
          <w:bCs w:val="0"/>
        </w:rPr>
        <w:t>年</w:t>
      </w:r>
      <w:r>
        <w:rPr>
          <w:rFonts w:hint="eastAsia" w:ascii="仿宋" w:hAnsi="仿宋" w:eastAsia="仿宋" w:cs="仿宋_GB2312"/>
          <w:b w:val="0"/>
          <w:bCs w:val="0"/>
          <w:lang w:val="en-US" w:eastAsia="zh-CN"/>
        </w:rPr>
        <w:t>5</w:t>
      </w:r>
      <w:r>
        <w:rPr>
          <w:rFonts w:hint="eastAsia" w:ascii="仿宋" w:hAnsi="仿宋" w:eastAsia="仿宋" w:cs="仿宋_GB2312"/>
          <w:b w:val="0"/>
          <w:bCs w:val="0"/>
        </w:rPr>
        <w:t>月</w:t>
      </w:r>
      <w:r>
        <w:rPr>
          <w:rFonts w:hint="eastAsia" w:ascii="仿宋" w:hAnsi="仿宋" w:eastAsia="仿宋" w:cs="仿宋_GB2312"/>
          <w:b w:val="0"/>
          <w:bCs w:val="0"/>
          <w:lang w:val="en-US" w:eastAsia="zh-CN"/>
        </w:rPr>
        <w:t>14</w:t>
      </w:r>
      <w:r>
        <w:rPr>
          <w:rFonts w:hint="eastAsia" w:ascii="仿宋" w:hAnsi="仿宋" w:eastAsia="仿宋" w:cs="仿宋_GB2312"/>
          <w:b w:val="0"/>
          <w:bCs w:val="0"/>
        </w:rPr>
        <w:t>日</w:t>
      </w:r>
      <w:r>
        <w:rPr>
          <w:rFonts w:ascii="仿宋" w:hAnsi="仿宋" w:eastAsia="仿宋" w:cs="仿宋_GB2312"/>
          <w:b w:val="0"/>
          <w:bCs w:val="0"/>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宋体" w:eastAsia="方正小标宋简体" w:cs="方正小标宋简体"/>
          <w:b w:val="0"/>
          <w:bCs w:val="0"/>
          <w:sz w:val="44"/>
          <w:szCs w:val="44"/>
          <w:lang w:val="en-US" w:eastAsia="zh-CN"/>
        </w:rPr>
      </w:pPr>
      <w:r>
        <w:rPr>
          <w:rFonts w:ascii="仿宋" w:hAnsi="仿宋" w:eastAsia="仿宋"/>
          <w:b w:val="0"/>
          <w:bCs w:val="0"/>
        </w:rPr>
        <w:br w:type="page"/>
      </w:r>
      <w:r>
        <w:rPr>
          <w:rFonts w:hint="eastAsia" w:ascii="方正小标宋简体" w:hAnsi="宋体" w:eastAsia="方正小标宋简体" w:cs="方正小标宋简体"/>
          <w:b w:val="0"/>
          <w:bCs w:val="0"/>
          <w:sz w:val="44"/>
          <w:szCs w:val="44"/>
          <w:lang w:val="en-US" w:eastAsia="zh-CN"/>
        </w:rPr>
        <w:t>绍兴市食品安全抽检监测核查</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b w:val="0"/>
          <w:bCs w:val="0"/>
        </w:rPr>
      </w:pPr>
      <w:r>
        <w:rPr>
          <w:rFonts w:hint="eastAsia" w:ascii="方正小标宋简体" w:hAnsi="宋体" w:eastAsia="方正小标宋简体" w:cs="方正小标宋简体"/>
          <w:b w:val="0"/>
          <w:bCs w:val="0"/>
          <w:sz w:val="44"/>
          <w:szCs w:val="44"/>
          <w:lang w:val="en-US" w:eastAsia="zh-CN"/>
        </w:rPr>
        <w:t>处置工作办法（暂行）</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b w:val="0"/>
          <w:bCs w:val="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rPr>
      </w:pPr>
      <w:r>
        <w:rPr>
          <w:rFonts w:hint="eastAsia" w:ascii="黑体" w:hAnsi="黑体" w:eastAsia="黑体" w:cs="黑体"/>
          <w:b w:val="0"/>
          <w:bCs w:val="0"/>
        </w:rPr>
        <w:t>第一章</w:t>
      </w:r>
      <w:r>
        <w:rPr>
          <w:rFonts w:hint="eastAsia" w:ascii="黑体" w:hAnsi="黑体" w:eastAsia="黑体" w:cs="黑体"/>
          <w:b w:val="0"/>
          <w:bCs w:val="0"/>
          <w:lang w:val="en-US" w:eastAsia="zh-CN"/>
        </w:rPr>
        <w:t xml:space="preserve">  </w:t>
      </w:r>
      <w:r>
        <w:rPr>
          <w:rFonts w:hint="eastAsia" w:ascii="黑体" w:hAnsi="黑体" w:eastAsia="黑体" w:cs="黑体"/>
          <w:b w:val="0"/>
          <w:bCs w:val="0"/>
        </w:rPr>
        <w:t>总则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第一条 </w:t>
      </w:r>
      <w:r>
        <w:rPr>
          <w:rFonts w:hint="eastAsia" w:ascii="仿宋" w:hAnsi="仿宋" w:eastAsia="仿宋"/>
          <w:b w:val="0"/>
          <w:bCs w:val="0"/>
          <w:lang w:val="en-US" w:eastAsia="zh-CN"/>
        </w:rPr>
        <w:t xml:space="preserve"> </w:t>
      </w:r>
      <w:r>
        <w:rPr>
          <w:rFonts w:hint="eastAsia" w:ascii="仿宋" w:hAnsi="仿宋" w:eastAsia="仿宋"/>
          <w:b w:val="0"/>
          <w:bCs w:val="0"/>
        </w:rPr>
        <w:t>为规范本市食品安全抽检监测和不合格（问题）食品核查处置（以下简称核查处置）工作，保障公众身体健康和生命安全，根据《中华人民共和国食品安全法》《中华人民共和国</w:t>
      </w:r>
      <w:r>
        <w:rPr>
          <w:rFonts w:hint="eastAsia" w:ascii="仿宋" w:hAnsi="仿宋" w:eastAsia="仿宋"/>
          <w:b w:val="0"/>
          <w:bCs w:val="0"/>
          <w:w w:val="95"/>
        </w:rPr>
        <w:t xml:space="preserve">食品安全法实施条例》《食品安全抽样检验管理办法》等法律法规和省市场监督管理局《食品安全抽检监测核查处置工作指导意见》的相关要求，结合我市实际，制定本工作办法（以下简称《办法》）。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第二条  本《办法》中食品（含食品添加剂、保健食品，下同）安全抽检监测核查处置工作是指各级市场监督管理部门对监</w:t>
      </w:r>
      <w:r>
        <w:rPr>
          <w:rFonts w:hint="eastAsia" w:ascii="仿宋" w:hAnsi="仿宋" w:eastAsia="仿宋"/>
          <w:b w:val="0"/>
          <w:bCs w:val="0"/>
          <w:w w:val="95"/>
        </w:rPr>
        <w:t>督抽检、评价性抽检不合格食品和风险监测问题食品的后处理工作。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核查处置工作内容包括检验报告送达、不合格（问题）食品处置、异议处理、立案调查、行政处罚、整改复查、信 息发布等。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第三条 </w:t>
      </w:r>
      <w:r>
        <w:rPr>
          <w:rFonts w:hint="eastAsia" w:ascii="仿宋" w:hAnsi="仿宋" w:eastAsia="仿宋"/>
          <w:b w:val="0"/>
          <w:bCs w:val="0"/>
          <w:lang w:val="en-US" w:eastAsia="zh-CN"/>
        </w:rPr>
        <w:t xml:space="preserve"> </w:t>
      </w:r>
      <w:r>
        <w:rPr>
          <w:rFonts w:hint="eastAsia" w:ascii="仿宋" w:hAnsi="仿宋" w:eastAsia="仿宋"/>
          <w:b w:val="0"/>
          <w:bCs w:val="0"/>
        </w:rPr>
        <w:t xml:space="preserve">本《办法》中不合格食品，系指监督抽检工作中依法对食品抽样检验，判定不符合食品安全标准或产品明示标准的食品。问题食品，系指风险监测工作中经检验分析，判定食品存在风险的食品。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rPr>
      </w:pPr>
      <w:r>
        <w:rPr>
          <w:rFonts w:hint="eastAsia" w:ascii="黑体" w:hAnsi="黑体" w:eastAsia="黑体" w:cs="黑体"/>
          <w:b w:val="0"/>
          <w:bCs w:val="0"/>
        </w:rPr>
        <w:t xml:space="preserve">第二章 </w:t>
      </w:r>
      <w:r>
        <w:rPr>
          <w:rFonts w:hint="eastAsia" w:ascii="黑体" w:hAnsi="黑体" w:eastAsia="黑体" w:cs="黑体"/>
          <w:b w:val="0"/>
          <w:bCs w:val="0"/>
          <w:lang w:val="en-US" w:eastAsia="zh-CN"/>
        </w:rPr>
        <w:t xml:space="preserve"> </w:t>
      </w:r>
      <w:r>
        <w:rPr>
          <w:rFonts w:hint="eastAsia" w:ascii="黑体" w:hAnsi="黑体" w:eastAsia="黑体" w:cs="黑体"/>
          <w:b w:val="0"/>
          <w:bCs w:val="0"/>
        </w:rPr>
        <w:t>职责分工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第四条</w:t>
      </w:r>
      <w:r>
        <w:rPr>
          <w:rFonts w:hint="eastAsia" w:ascii="仿宋" w:hAnsi="仿宋" w:eastAsia="仿宋"/>
          <w:b w:val="0"/>
          <w:bCs w:val="0"/>
          <w:lang w:val="en-US" w:eastAsia="zh-CN"/>
        </w:rPr>
        <w:t xml:space="preserve"> </w:t>
      </w:r>
      <w:r>
        <w:rPr>
          <w:rFonts w:hint="eastAsia" w:ascii="仿宋" w:hAnsi="仿宋" w:eastAsia="仿宋"/>
          <w:b w:val="0"/>
          <w:bCs w:val="0"/>
        </w:rPr>
        <w:t xml:space="preserve"> 市县两级食品安全抽检监测计划必须通过国家食品安全抽样检验信息系统（以下简称国抽系统）进行下达。食品安全监督抽检不合格（问题）食品核查处置工作实行分工负责制。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第五条</w:t>
      </w:r>
      <w:r>
        <w:rPr>
          <w:rFonts w:hint="eastAsia" w:ascii="仿宋" w:hAnsi="仿宋" w:eastAsia="仿宋"/>
          <w:b w:val="0"/>
          <w:bCs w:val="0"/>
          <w:lang w:val="en-US" w:eastAsia="zh-CN"/>
        </w:rPr>
        <w:t xml:space="preserve"> </w:t>
      </w:r>
      <w:r>
        <w:rPr>
          <w:rFonts w:hint="eastAsia" w:ascii="仿宋" w:hAnsi="仿宋" w:eastAsia="仿宋"/>
          <w:b w:val="0"/>
          <w:bCs w:val="0"/>
        </w:rPr>
        <w:t xml:space="preserve"> 承担食品安全监督抽检的检验机构负责食品抽样检验，食品安全抽样工作应当遵守随机选取抽样对象、随机确定抽样人员的要求。抽样单位应当建立食品抽样管理制度，保证抽样工作质量，不得提前通知被抽样食品生产经营者，不得由食品生产经营者自行提供样品。承检机构应建立样品保存制度，并按照相应规定做好复检备份样品的保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食品安全抽检实行承检机构与检验人负责制，承检机构和检验人对出具的食品安全检验报告负责。承检机构应当自收到样品之日起20个工作日内出具检验报告，并录入国抽系统。另有约定的从其约定。食品安全监督抽检的检验结论合格的，承检机构应当在检验结论作出后7个工作日内将检验结论报送组织或者委托实施抽样检验的市场监督管理部门；抽样检验结论不合格的，应当在检验结论作出后2个工作日内报告组织或者委托实施抽样检验的市场监督管理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含有非食用物质、其他可能存在较高或急性健康风险的（以下简称24小时限时报告），应在确认检验结果后24小时内报组织或者委托实施抽样检验的市局、县级局和生产经营者所在地市场监管部门。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市局食品安全协调督查处负责统筹食品安全抽检监测核查处置工作。具体职责包括：1.负责全市不合格（问题）食品核查处置工作的组织协调、提醒通报、考核以及信息汇总工作；2.承担与市级其他部门不合格（问题）信息的通报和交流；3.做好核查处置信息的分析和利用；4.牵头组织开展市局风险监测问题食品</w:t>
      </w:r>
      <w:r>
        <w:rPr>
          <w:rFonts w:hint="eastAsia" w:ascii="仿宋" w:hAnsi="仿宋" w:eastAsia="仿宋"/>
          <w:b w:val="0"/>
          <w:bCs w:val="0"/>
          <w:w w:val="95"/>
        </w:rPr>
        <w:t>的风险评估和风险分析，开展系统性、区域性问题风险的收集工作。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市局综合行政执法队负责具体实施需要由市局处置的抽检不合格（问题）食品的核查处置工作。具体职责包括：1.负责组织上级转办、督办的监督抽检不合格食品和风险监测问题样品核查处置工作；2.承担需要由市局处置的不合格和不合格同时风险监测有问题食品相关核查处置工作；3.指导县级市场监管综合行政执法队不合格食品核查处置工作；4.承担国、省和市级抽检的不合格核查处置案件办理之后的审核工作；5.负责汇总上报不合格食品核查处置工作统计表；6.协调重大、跨区域的不合格食品大案要案的查处工作；7.组织不合格（问题）食品核查处置经典案例和相关调研报告的撰写工作；8.参与食品安全风险评估和风险分析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市局食品安全监管职能处室具体职责包括：1.负责各自环节需由市局处置的风险监测问题食品结果告知、产品召回、原因分析、风险防控等处置措施并录入国抽系统；2.指导县级局对问题食品进行的核查处置措施；3.承担不合格食品在各自环节的原因排查、分析和复查整改工作；4.开展系统性、区域性问题风险的隐患排查；5.参与食品安全风险评估和风险分析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县级局负责组织开展本辖区食品安全抽检监测和核查处置工作，并按照规定实施上级市场监督管理部门组织的食品安全抽检监测核查处置工作。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第六条</w:t>
      </w:r>
      <w:r>
        <w:rPr>
          <w:rFonts w:hint="eastAsia" w:ascii="仿宋" w:hAnsi="仿宋" w:eastAsia="仿宋"/>
          <w:b w:val="0"/>
          <w:bCs w:val="0"/>
          <w:lang w:val="en-US" w:eastAsia="zh-CN"/>
        </w:rPr>
        <w:t xml:space="preserve"> </w:t>
      </w:r>
      <w:r>
        <w:rPr>
          <w:rFonts w:hint="eastAsia" w:ascii="仿宋" w:hAnsi="仿宋" w:eastAsia="仿宋"/>
          <w:b w:val="0"/>
          <w:bCs w:val="0"/>
        </w:rPr>
        <w:t xml:space="preserve"> 市县两级市场监管部门应加强食品协调、食品安全监管职能处（科）室、市场监管综合行政执法队以及市场监管所核查处置工作的分工协作，确定专人(核查处置信息员)负责不合格（问题）食品报告领取、转办、催办、核查处置信息收集并录入国抽系统，不合格食品风险防控和处置信息公布，汇总本辖区全年不合格（问题）食品案件清单，上报不合格食品核查处置工作统计表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第七条</w:t>
      </w:r>
      <w:r>
        <w:rPr>
          <w:rFonts w:hint="eastAsia" w:ascii="仿宋" w:hAnsi="仿宋" w:eastAsia="仿宋"/>
          <w:b w:val="0"/>
          <w:bCs w:val="0"/>
          <w:lang w:val="en-US" w:eastAsia="zh-CN"/>
        </w:rPr>
        <w:t xml:space="preserve"> </w:t>
      </w:r>
      <w:r>
        <w:rPr>
          <w:rFonts w:hint="eastAsia" w:ascii="仿宋" w:hAnsi="仿宋" w:eastAsia="仿宋"/>
          <w:b w:val="0"/>
          <w:bCs w:val="0"/>
        </w:rPr>
        <w:t xml:space="preserve"> 按照不合格（问题）食品核查处置工作分级审核的原则明确市、县级局核查处置工作相关责任人负责国抽系统上不</w:t>
      </w:r>
      <w:r>
        <w:rPr>
          <w:rFonts w:hint="eastAsia" w:ascii="仿宋" w:hAnsi="仿宋" w:eastAsia="仿宋"/>
          <w:b w:val="0"/>
          <w:bCs w:val="0"/>
          <w:w w:val="95"/>
        </w:rPr>
        <w:t>合格（问题）案件办理的审核工作，确保核查处置工作即时、到位。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rPr>
      </w:pPr>
      <w:r>
        <w:rPr>
          <w:rFonts w:hint="eastAsia" w:ascii="黑体" w:hAnsi="黑体" w:eastAsia="黑体" w:cs="黑体"/>
          <w:b w:val="0"/>
          <w:bCs w:val="0"/>
        </w:rPr>
        <w:t>第三章</w:t>
      </w:r>
      <w:r>
        <w:rPr>
          <w:rFonts w:hint="eastAsia" w:ascii="黑体" w:hAnsi="黑体" w:eastAsia="黑体" w:cs="黑体"/>
          <w:b w:val="0"/>
          <w:bCs w:val="0"/>
          <w:lang w:val="en-US" w:eastAsia="zh-CN"/>
        </w:rPr>
        <w:t xml:space="preserve"> </w:t>
      </w:r>
      <w:r>
        <w:rPr>
          <w:rFonts w:hint="eastAsia" w:ascii="黑体" w:hAnsi="黑体" w:eastAsia="黑体" w:cs="黑体"/>
          <w:b w:val="0"/>
          <w:bCs w:val="0"/>
        </w:rPr>
        <w:t xml:space="preserve"> 处置流程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第八条</w:t>
      </w:r>
      <w:r>
        <w:rPr>
          <w:rFonts w:hint="eastAsia" w:ascii="仿宋" w:hAnsi="仿宋" w:eastAsia="仿宋"/>
          <w:b w:val="0"/>
          <w:bCs w:val="0"/>
          <w:lang w:val="en-US" w:eastAsia="zh-CN"/>
        </w:rPr>
        <w:t xml:space="preserve"> </w:t>
      </w:r>
      <w:r>
        <w:rPr>
          <w:rFonts w:hint="eastAsia" w:ascii="仿宋" w:hAnsi="仿宋" w:eastAsia="仿宋"/>
          <w:b w:val="0"/>
          <w:bCs w:val="0"/>
        </w:rPr>
        <w:t xml:space="preserve"> 食品安全抽检监测核查处置工作要严格遵循时限要求和质量要求（附件1）。整个核查处置工作要在 90 个自然日内完成。县级局办理的核查处置工作应在 80 个自然日内完成，需要延长办理期限的，应当书面报请负责核查处置的县级局主要负责人批准。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第九条  核查处置工作实施一单流转闭环管理制。市局综合行政执法队、食品安全监管职能处室和各县级局应按职责分工在1个工作日内领取不合格（问题）报告，并下载《检验报告》、《食品安全抽样检验抽样单》、《国家食品安全抽样检验结果通知书》等文书。市局食品安全协调督查处负责督促各单位的领取情况，对于未按时限要求领取的，下发《不合格（问题）食品核查处置任务通知书》（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第十条</w:t>
      </w:r>
      <w:r>
        <w:rPr>
          <w:rFonts w:hint="eastAsia" w:ascii="仿宋" w:hAnsi="仿宋" w:eastAsia="仿宋"/>
          <w:b w:val="0"/>
          <w:bCs w:val="0"/>
          <w:lang w:val="en-US" w:eastAsia="zh-CN"/>
        </w:rPr>
        <w:t xml:space="preserve"> </w:t>
      </w:r>
      <w:r>
        <w:rPr>
          <w:rFonts w:hint="eastAsia" w:ascii="仿宋" w:hAnsi="仿宋" w:eastAsia="仿宋"/>
          <w:b w:val="0"/>
          <w:bCs w:val="0"/>
        </w:rPr>
        <w:t xml:space="preserve"> 具体案件承办机构应当在核查创建5个工作日（报告出现在国抽系统待领取栏当日开始算起，下同）内将不合格（问题）食品《检验报告》等文书送达（告知）食品生产经营者，同时启动核查处置工作。对于24 小时内限时报送的不合格（问题）情况，应在收到《食品安全抽样检验限时报告情况表》后立即启动核查处置工作，迅速对生产经营者进行现场调查处理，协同有关地方或部门采取高效有序的上溯下追措施，迅速控制涉嫌产品和危害。在现场调查处理前，任何单位和个人不得透露或通报有关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第十一条</w:t>
      </w:r>
      <w:r>
        <w:rPr>
          <w:rFonts w:hint="eastAsia" w:ascii="仿宋" w:hAnsi="仿宋" w:eastAsia="仿宋"/>
          <w:b w:val="0"/>
          <w:bCs w:val="0"/>
          <w:lang w:val="en-US" w:eastAsia="zh-CN"/>
        </w:rPr>
        <w:t xml:space="preserve"> </w:t>
      </w:r>
      <w:r>
        <w:rPr>
          <w:rFonts w:hint="eastAsia" w:ascii="仿宋" w:hAnsi="仿宋" w:eastAsia="仿宋"/>
          <w:b w:val="0"/>
          <w:bCs w:val="0"/>
        </w:rPr>
        <w:t xml:space="preserve"> 具体案件承办机构在送达不合格报告时应依法告知食品生产经营者申请复检、异议的权利，同时告知生产经营者申请复检、异议期间不得停止履行食品安全风险控制相关义务。食品生产经营者对检验结果提出异议和复检的，原则上遵照“谁组织谁受理”分类实施，并且按照国家总局《食品安全抽样检验管理办法》和省局复检有关规定执行。经复检合格或异议认可的，应及时通报具体案件承办机构解除相关核查处置行政强制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第十二条</w:t>
      </w:r>
      <w:r>
        <w:rPr>
          <w:rFonts w:hint="eastAsia" w:ascii="仿宋" w:hAnsi="仿宋" w:eastAsia="仿宋"/>
          <w:b w:val="0"/>
          <w:bCs w:val="0"/>
          <w:lang w:val="en-US" w:eastAsia="zh-CN"/>
        </w:rPr>
        <w:t xml:space="preserve"> </w:t>
      </w:r>
      <w:r>
        <w:rPr>
          <w:rFonts w:hint="eastAsia" w:ascii="仿宋" w:hAnsi="仿宋" w:eastAsia="仿宋"/>
          <w:b w:val="0"/>
          <w:bCs w:val="0"/>
        </w:rPr>
        <w:t xml:space="preserve"> 对复检不合格或异议不认可的食品生产经营者，具体案件承办机构监督食品生产经营者对库存和召回的不合格食品采取补救、无害化处理、销毁等措施予以处置，或依法予以没收销毁。食品安全监管职能处（科）室督促生产经营者查找不合格（问题）食品产生的原因以及对原因的合理性、准确性进行评估分析，防止避重就轻、隐瞒隐患，并要求落实整改措施，限期提交整改报告后进行验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第十三条</w:t>
      </w:r>
      <w:r>
        <w:rPr>
          <w:rFonts w:hint="eastAsia" w:ascii="仿宋" w:hAnsi="仿宋" w:eastAsia="仿宋"/>
          <w:b w:val="0"/>
          <w:bCs w:val="0"/>
          <w:lang w:val="en-US" w:eastAsia="zh-CN"/>
        </w:rPr>
        <w:t xml:space="preserve"> </w:t>
      </w:r>
      <w:r>
        <w:rPr>
          <w:rFonts w:hint="eastAsia" w:ascii="仿宋" w:hAnsi="仿宋" w:eastAsia="仿宋"/>
          <w:b w:val="0"/>
          <w:bCs w:val="0"/>
        </w:rPr>
        <w:t xml:space="preserve"> 县级局应加强与市局综合行政执法队和食品安全监管职能处室的沟通，并明确提出办理工作安排和确认预计完成时间。对立案查处的，要严格按照相关法律法规要求执行，不得出现以改代罚、该立案的不立案，以罚代刑、该移送的不移送等情况；对涉嫌食品犯罪行为的，要及时向公安机关移送案件和通报线索。国、省和市级抽检的不合格（问题）案件由于特殊原因预期不能完成的，应当在核查创建70个自然日前书面(盖单位公章)报市局食品安全协调督查处。正常办理的核查处置相关工作应在核查创建80个自然日（不含审核时间）内完成并填报国抽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第十四条 </w:t>
      </w:r>
      <w:r>
        <w:rPr>
          <w:rFonts w:hint="eastAsia" w:ascii="仿宋" w:hAnsi="仿宋" w:eastAsia="仿宋"/>
          <w:b w:val="0"/>
          <w:bCs w:val="0"/>
          <w:lang w:val="en-US" w:eastAsia="zh-CN"/>
        </w:rPr>
        <w:t xml:space="preserve"> </w:t>
      </w:r>
      <w:r>
        <w:rPr>
          <w:rFonts w:hint="eastAsia" w:ascii="仿宋" w:hAnsi="仿宋" w:eastAsia="仿宋"/>
          <w:b w:val="0"/>
          <w:bCs w:val="0"/>
        </w:rPr>
        <w:t>核查处置工作要求注重溯源。对查出因生产者购进使用不合格食品原料导致产品不合格的，应追溯原料供应商和生产者，对其进行查处。涉及外地区的或其他部门管理职责的，将线索移送或通报相关部门后，要跟踪掌握相关部门的处理进展情况。对食用农产品及其制品，至少要上溯一级对其源头进行追查，该源头属于本辖区本部门管辖的，应查明原因并消除隐患；不属于本辖区或本部门管辖的，应当及时将追溯信息移送或通报相关部门，并持续跟踪关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第十五条</w:t>
      </w:r>
      <w:r>
        <w:rPr>
          <w:rFonts w:hint="eastAsia" w:ascii="仿宋" w:hAnsi="仿宋" w:eastAsia="仿宋"/>
          <w:b w:val="0"/>
          <w:bCs w:val="0"/>
          <w:lang w:val="en-US" w:eastAsia="zh-CN"/>
        </w:rPr>
        <w:t xml:space="preserve"> </w:t>
      </w:r>
      <w:r>
        <w:rPr>
          <w:rFonts w:hint="eastAsia" w:ascii="仿宋" w:hAnsi="仿宋" w:eastAsia="仿宋"/>
          <w:b w:val="0"/>
          <w:bCs w:val="0"/>
        </w:rPr>
        <w:t xml:space="preserve"> 案件办理信息全部在国抽系统填报后，市、县级局明确的审核责任人对食品抽检监测不合格（问题）食品核查处置信息情况进行审核。上级市场监管部门审核未通过的，市、县级局案件办理单位进行修正核查信息并再次提交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第十六条 </w:t>
      </w:r>
      <w:r>
        <w:rPr>
          <w:rFonts w:hint="eastAsia" w:ascii="仿宋" w:hAnsi="仿宋" w:eastAsia="仿宋"/>
          <w:b w:val="0"/>
          <w:bCs w:val="0"/>
          <w:lang w:val="en-US" w:eastAsia="zh-CN"/>
        </w:rPr>
        <w:t xml:space="preserve"> </w:t>
      </w:r>
      <w:r>
        <w:rPr>
          <w:rFonts w:hint="eastAsia" w:ascii="仿宋" w:hAnsi="仿宋" w:eastAsia="仿宋"/>
          <w:b w:val="0"/>
          <w:bCs w:val="0"/>
        </w:rPr>
        <w:t xml:space="preserve">市、县级局案件办理单位应该建立完整的不合格（问题）食品核查处置案件台账（附件3）。具体案件承办机构建立并完善抽检监测不合格（问题）食品核查处置工作档案，保存处置执法文书等资料。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第十七条 </w:t>
      </w:r>
      <w:r>
        <w:rPr>
          <w:rFonts w:hint="eastAsia" w:ascii="仿宋" w:hAnsi="仿宋" w:eastAsia="仿宋"/>
          <w:b w:val="0"/>
          <w:bCs w:val="0"/>
          <w:lang w:val="en-US" w:eastAsia="zh-CN"/>
        </w:rPr>
        <w:t xml:space="preserve"> </w:t>
      </w:r>
      <w:r>
        <w:rPr>
          <w:rFonts w:hint="eastAsia" w:ascii="仿宋" w:hAnsi="仿宋" w:eastAsia="仿宋"/>
          <w:b w:val="0"/>
          <w:bCs w:val="0"/>
        </w:rPr>
        <w:t>市、县级局应加强对不合格（问题）食品核查处置信息的梳理分析和结果运用，总结核查处置经典案例。县级局每年至少撰写2篇核查处置经典案例并上报。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rPr>
      </w:pPr>
      <w:r>
        <w:rPr>
          <w:rFonts w:hint="eastAsia" w:ascii="黑体" w:hAnsi="黑体" w:eastAsia="黑体" w:cs="黑体"/>
          <w:b w:val="0"/>
          <w:bCs w:val="0"/>
        </w:rPr>
        <w:t>第四章</w:t>
      </w:r>
      <w:r>
        <w:rPr>
          <w:rFonts w:hint="eastAsia" w:ascii="黑体" w:hAnsi="黑体" w:eastAsia="黑体" w:cs="黑体"/>
          <w:b w:val="0"/>
          <w:bCs w:val="0"/>
          <w:lang w:val="en-US" w:eastAsia="zh-CN"/>
        </w:rPr>
        <w:t xml:space="preserve">  </w:t>
      </w:r>
      <w:r>
        <w:rPr>
          <w:rFonts w:hint="eastAsia" w:ascii="黑体" w:hAnsi="黑体" w:eastAsia="黑体" w:cs="黑体"/>
          <w:b w:val="0"/>
          <w:bCs w:val="0"/>
        </w:rPr>
        <w:t>信息发布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第十八条</w:t>
      </w:r>
      <w:r>
        <w:rPr>
          <w:rFonts w:hint="eastAsia" w:ascii="仿宋" w:hAnsi="仿宋" w:eastAsia="仿宋"/>
          <w:b w:val="0"/>
          <w:bCs w:val="0"/>
          <w:lang w:val="en-US" w:eastAsia="zh-CN"/>
        </w:rPr>
        <w:t xml:space="preserve"> </w:t>
      </w:r>
      <w:r>
        <w:rPr>
          <w:rFonts w:hint="eastAsia" w:ascii="仿宋" w:hAnsi="仿宋" w:eastAsia="仿宋"/>
          <w:b w:val="0"/>
          <w:bCs w:val="0"/>
        </w:rPr>
        <w:t xml:space="preserve"> 规范监督抽检信息发布。监督抽检信息公开应符合相关程序，未经批准，任何单位和个人均不得擅自发布。对可能产生重大影响的食品安全监督抽检信息，相关处室发布前应向分管领导汇报。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第十九条</w:t>
      </w:r>
      <w:r>
        <w:rPr>
          <w:rFonts w:hint="eastAsia" w:ascii="仿宋" w:hAnsi="仿宋" w:eastAsia="仿宋"/>
          <w:b w:val="0"/>
          <w:bCs w:val="0"/>
          <w:lang w:val="en-US" w:eastAsia="zh-CN"/>
        </w:rPr>
        <w:t xml:space="preserve"> </w:t>
      </w:r>
      <w:r>
        <w:rPr>
          <w:rFonts w:hint="eastAsia" w:ascii="仿宋" w:hAnsi="仿宋" w:eastAsia="仿宋"/>
          <w:b w:val="0"/>
          <w:bCs w:val="0"/>
        </w:rPr>
        <w:t xml:space="preserve"> 市、县级局应当在食品不合格情况通告发布后5个工作日内向社会公布不合格食品风险防控信息。在食品不合格情况通告发布后3个月内向社会公布核查处置结果。公布内容包括抽检情况、问题原因、整改措施、行政处罚等基本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rPr>
      </w:pPr>
      <w:r>
        <w:rPr>
          <w:rFonts w:hint="eastAsia" w:ascii="黑体" w:hAnsi="黑体" w:eastAsia="黑体" w:cs="黑体"/>
          <w:b w:val="0"/>
          <w:bCs w:val="0"/>
        </w:rPr>
        <w:t>第五章  通报与考核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第二十条 </w:t>
      </w:r>
      <w:r>
        <w:rPr>
          <w:rFonts w:hint="eastAsia" w:ascii="仿宋" w:hAnsi="仿宋" w:eastAsia="仿宋"/>
          <w:b w:val="0"/>
          <w:bCs w:val="0"/>
          <w:lang w:val="en-US" w:eastAsia="zh-CN"/>
        </w:rPr>
        <w:t xml:space="preserve"> </w:t>
      </w:r>
      <w:r>
        <w:rPr>
          <w:rFonts w:hint="eastAsia" w:ascii="仿宋" w:hAnsi="仿宋" w:eastAsia="仿宋"/>
          <w:b w:val="0"/>
          <w:bCs w:val="0"/>
        </w:rPr>
        <w:t>市局对国、省和市级抽检不合格（问题）食品核查处置工作建立周提醒月通报机制。每周通报核查处置进展情况，对市、县级局未及时启动的核查处置任务和未按时限完成的分别实行黄色、橙色、红色警示提醒通报（附件4）。每月20日前书面通报已超期或即将到期的核查处置任务清单（附件5）。对未能按时完成核查处置工作且未提前书面上报或者省局审核不通过的情况进行督办（附件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第二十一条</w:t>
      </w:r>
      <w:r>
        <w:rPr>
          <w:rFonts w:hint="eastAsia" w:ascii="仿宋" w:hAnsi="仿宋" w:eastAsia="仿宋"/>
          <w:b w:val="0"/>
          <w:bCs w:val="0"/>
          <w:lang w:val="en-US" w:eastAsia="zh-CN"/>
        </w:rPr>
        <w:t xml:space="preserve">  </w:t>
      </w:r>
      <w:r>
        <w:rPr>
          <w:rFonts w:hint="eastAsia" w:ascii="仿宋" w:hAnsi="仿宋" w:eastAsia="仿宋"/>
          <w:b w:val="0"/>
          <w:bCs w:val="0"/>
        </w:rPr>
        <w:t>市局负责对县级市场监管部门核查处置工作进行督导、约谈、考核和通报。核查处置工作将纳入食品安全综合评议和市局对县级局的年度考核内容。不合格食品立案率、不合格食品核查处置完成率和信息公开率等作为食品安全工作评议考核的重要内容。县级局未按要求完成或超期完成核查处置工作，导致市局被国家总局、省局通报或在食品安全工作考核中扣分的，在市级考核中将加倍扣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第二十二条 </w:t>
      </w:r>
      <w:r>
        <w:rPr>
          <w:rFonts w:hint="eastAsia" w:ascii="仿宋" w:hAnsi="仿宋" w:eastAsia="仿宋"/>
          <w:b w:val="0"/>
          <w:bCs w:val="0"/>
          <w:lang w:val="en-US" w:eastAsia="zh-CN"/>
        </w:rPr>
        <w:t xml:space="preserve"> </w:t>
      </w:r>
      <w:r>
        <w:rPr>
          <w:rFonts w:hint="eastAsia" w:ascii="仿宋" w:hAnsi="仿宋" w:eastAsia="仿宋"/>
          <w:b w:val="0"/>
          <w:bCs w:val="0"/>
        </w:rPr>
        <w:t>各区、县（市）市场监督管理局可结合本辖区实际情况，参照市局建立相应机制，优化流程提高效率。相关规定报市局食品安全协调督查处备案。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第二十三条 </w:t>
      </w:r>
      <w:r>
        <w:rPr>
          <w:rFonts w:hint="eastAsia" w:ascii="仿宋" w:hAnsi="仿宋" w:eastAsia="仿宋"/>
          <w:b w:val="0"/>
          <w:bCs w:val="0"/>
          <w:lang w:val="en-US" w:eastAsia="zh-CN"/>
        </w:rPr>
        <w:t xml:space="preserve"> </w:t>
      </w:r>
      <w:r>
        <w:rPr>
          <w:rFonts w:hint="eastAsia" w:ascii="仿宋" w:hAnsi="仿宋" w:eastAsia="仿宋"/>
          <w:b w:val="0"/>
          <w:bCs w:val="0"/>
        </w:rPr>
        <w:t>本办法自发布之日起施行。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附件：1.</w:t>
      </w:r>
      <w:r>
        <w:rPr>
          <w:rFonts w:hint="eastAsia" w:ascii="仿宋" w:hAnsi="仿宋" w:eastAsia="仿宋"/>
          <w:b w:val="0"/>
          <w:bCs w:val="0"/>
          <w:lang w:val="en-US" w:eastAsia="zh-CN"/>
        </w:rPr>
        <w:t xml:space="preserve"> </w:t>
      </w:r>
      <w:r>
        <w:rPr>
          <w:rFonts w:hint="eastAsia" w:ascii="仿宋" w:hAnsi="仿宋" w:eastAsia="仿宋"/>
          <w:b w:val="0"/>
          <w:bCs w:val="0"/>
        </w:rPr>
        <w:t>不合格（问题）食品核查处置工作流程图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      2.</w:t>
      </w:r>
      <w:r>
        <w:rPr>
          <w:rFonts w:hint="eastAsia" w:ascii="仿宋" w:hAnsi="仿宋" w:eastAsia="仿宋"/>
          <w:b w:val="0"/>
          <w:bCs w:val="0"/>
          <w:lang w:val="en-US" w:eastAsia="zh-CN"/>
        </w:rPr>
        <w:t xml:space="preserve"> </w:t>
      </w:r>
      <w:r>
        <w:rPr>
          <w:rFonts w:hint="eastAsia" w:ascii="仿宋" w:hAnsi="仿宋" w:eastAsia="仿宋"/>
          <w:b w:val="0"/>
          <w:bCs w:val="0"/>
        </w:rPr>
        <w:t>不合格（问题）食品核查处置任务通知书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      3.</w:t>
      </w:r>
      <w:r>
        <w:rPr>
          <w:rFonts w:hint="eastAsia" w:ascii="仿宋" w:hAnsi="仿宋" w:eastAsia="仿宋"/>
          <w:b w:val="0"/>
          <w:bCs w:val="0"/>
          <w:lang w:val="en-US" w:eastAsia="zh-CN"/>
        </w:rPr>
        <w:t xml:space="preserve"> </w:t>
      </w:r>
      <w:r>
        <w:rPr>
          <w:rFonts w:hint="eastAsia" w:ascii="仿宋" w:hAnsi="仿宋" w:eastAsia="仿宋"/>
          <w:b w:val="0"/>
          <w:bCs w:val="0"/>
        </w:rPr>
        <w:t>不合格（问题）食品核查处置工作台账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      4.</w:t>
      </w:r>
      <w:r>
        <w:rPr>
          <w:rFonts w:hint="eastAsia" w:ascii="仿宋" w:hAnsi="仿宋" w:eastAsia="仿宋"/>
          <w:b w:val="0"/>
          <w:bCs w:val="0"/>
          <w:lang w:val="en-US" w:eastAsia="zh-CN"/>
        </w:rPr>
        <w:t xml:space="preserve"> </w:t>
      </w:r>
      <w:r>
        <w:rPr>
          <w:rFonts w:hint="eastAsia" w:ascii="仿宋" w:hAnsi="仿宋" w:eastAsia="仿宋"/>
          <w:b w:val="0"/>
          <w:bCs w:val="0"/>
        </w:rPr>
        <w:t>不合格（问题）食品核查处置任务周通报表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      5.</w:t>
      </w:r>
      <w:r>
        <w:rPr>
          <w:rFonts w:hint="eastAsia" w:ascii="仿宋" w:hAnsi="仿宋" w:eastAsia="仿宋"/>
          <w:b w:val="0"/>
          <w:bCs w:val="0"/>
          <w:lang w:val="en-US" w:eastAsia="zh-CN"/>
        </w:rPr>
        <w:t xml:space="preserve"> </w:t>
      </w:r>
      <w:r>
        <w:rPr>
          <w:rFonts w:hint="eastAsia" w:ascii="仿宋" w:hAnsi="仿宋" w:eastAsia="仿宋"/>
          <w:b w:val="0"/>
          <w:bCs w:val="0"/>
        </w:rPr>
        <w:t>已超期或即将到期的核查处置任务清单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r>
        <w:rPr>
          <w:rFonts w:hint="eastAsia" w:ascii="仿宋" w:hAnsi="仿宋" w:eastAsia="仿宋"/>
          <w:b w:val="0"/>
          <w:bCs w:val="0"/>
        </w:rPr>
        <w:t xml:space="preserve">      6.</w:t>
      </w:r>
      <w:r>
        <w:rPr>
          <w:rFonts w:hint="eastAsia" w:ascii="仿宋" w:hAnsi="仿宋" w:eastAsia="仿宋"/>
          <w:b w:val="0"/>
          <w:bCs w:val="0"/>
          <w:lang w:val="en-US" w:eastAsia="zh-CN"/>
        </w:rPr>
        <w:t xml:space="preserve"> </w:t>
      </w:r>
      <w:r>
        <w:rPr>
          <w:rFonts w:hint="eastAsia" w:ascii="仿宋" w:hAnsi="仿宋" w:eastAsia="仿宋"/>
          <w:b w:val="0"/>
          <w:bCs w:val="0"/>
        </w:rPr>
        <w:t>不合格（问题）食品核查处置督办单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 w:hAnsi="仿宋" w:eastAsia="仿宋"/>
          <w:b w:val="0"/>
          <w:bCs w:val="0"/>
        </w:rPr>
        <w:sectPr>
          <w:footerReference r:id="rId3" w:type="default"/>
          <w:pgSz w:w="11907" w:h="16840"/>
          <w:pgMar w:top="2098" w:right="1474" w:bottom="1984" w:left="1587" w:header="851" w:footer="1531" w:gutter="0"/>
          <w:pgBorders>
            <w:top w:val="none" w:sz="0" w:space="0"/>
            <w:left w:val="none" w:sz="0" w:space="0"/>
            <w:bottom w:val="none" w:sz="0" w:space="0"/>
            <w:right w:val="none" w:sz="0" w:space="0"/>
          </w:pgBorders>
          <w:cols w:space="0" w:num="1"/>
          <w:rtlGutter w:val="0"/>
          <w:docGrid w:type="linesAndChars" w:linePitch="589" w:charSpace="-834"/>
        </w:sect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eastAsia="zh-CN"/>
        </w:rPr>
        <w:t>附件</w:t>
      </w:r>
      <w:r>
        <w:rPr>
          <w:rFonts w:hint="eastAsia" w:ascii="黑体" w:hAnsi="黑体" w:eastAsia="黑体" w:cs="黑体"/>
          <w:b w:val="0"/>
          <w:bCs w:val="0"/>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不合格</w:t>
      </w:r>
      <w:r>
        <w:rPr>
          <w:rFonts w:hint="eastAsia" w:ascii="方正小标宋简体" w:hAnsi="方正小标宋简体" w:eastAsia="方正小标宋简体" w:cs="方正小标宋简体"/>
          <w:color w:val="000000"/>
          <w:sz w:val="44"/>
          <w:szCs w:val="44"/>
          <w:lang w:eastAsia="zh-CN"/>
        </w:rPr>
        <w:t>（问题）</w:t>
      </w:r>
      <w:r>
        <w:rPr>
          <w:rFonts w:hint="eastAsia" w:ascii="方正小标宋简体" w:hAnsi="方正小标宋简体" w:eastAsia="方正小标宋简体" w:cs="方正小标宋简体"/>
          <w:color w:val="000000"/>
          <w:sz w:val="44"/>
          <w:szCs w:val="44"/>
        </w:rPr>
        <w:t>食品核查处置工作流程</w:t>
      </w:r>
      <w:r>
        <w:rPr>
          <w:rFonts w:hint="eastAsia" w:ascii="方正小标宋简体" w:hAnsi="方正小标宋简体" w:eastAsia="方正小标宋简体" w:cs="方正小标宋简体"/>
          <w:color w:val="000000"/>
          <w:sz w:val="44"/>
          <w:szCs w:val="44"/>
          <w:lang w:eastAsia="zh-CN"/>
        </w:rPr>
        <w:t>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ascii="仿宋" w:hAnsi="仿宋" w:eastAsia="仿宋"/>
          <w:b w:val="0"/>
          <w:bCs w:val="0"/>
        </w:rPr>
        <w:sectPr>
          <w:pgSz w:w="16840" w:h="11907" w:orient="landscape"/>
          <w:pgMar w:top="1587" w:right="2098" w:bottom="1474" w:left="1984" w:header="851" w:footer="1531" w:gutter="0"/>
          <w:pgBorders>
            <w:top w:val="none" w:sz="0" w:space="0"/>
            <w:left w:val="none" w:sz="0" w:space="0"/>
            <w:bottom w:val="none" w:sz="0" w:space="0"/>
            <w:right w:val="none" w:sz="0" w:space="0"/>
          </w:pgBorders>
          <w:cols w:space="0" w:num="1"/>
          <w:rtlGutter w:val="0"/>
          <w:docGrid w:type="linesAndChars" w:linePitch="589" w:charSpace="-834"/>
        </w:sectPr>
      </w:pPr>
      <w:r>
        <w:pict>
          <v:shape id="_x0000_i1025" o:spt="75" type="#_x0000_t75" style="height:302.15pt;width:637.85pt;" filled="f" stroked="f" coordsize="21600,21600">
            <v:path/>
            <v:fill on="f" focussize="0,0"/>
            <v:stroke on="f"/>
            <v:imagedata r:id="rId5"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附件2</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jc w:val="left"/>
        <w:textAlignment w:val="auto"/>
        <w:rPr>
          <w:rFonts w:hint="default" w:ascii="方正小标宋简体" w:hAnsi="方正小标宋简体" w:eastAsia="方正小标宋简体"/>
          <w:b w:val="0"/>
          <w:bCs w:val="0"/>
          <w:color w:val="000000"/>
          <w:sz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default" w:ascii="方正小标宋简体" w:hAnsi="宋体" w:eastAsia="方正小标宋简体" w:cs="方正小标宋简体"/>
          <w:b w:val="0"/>
          <w:bCs w:val="0"/>
          <w:sz w:val="44"/>
          <w:szCs w:val="44"/>
          <w:lang w:val="en-US" w:eastAsia="zh-CN"/>
        </w:rPr>
      </w:pPr>
      <w:r>
        <w:rPr>
          <w:rFonts w:hint="default" w:ascii="方正小标宋简体" w:hAnsi="宋体" w:eastAsia="方正小标宋简体" w:cs="方正小标宋简体"/>
          <w:b w:val="0"/>
          <w:bCs w:val="0"/>
          <w:sz w:val="44"/>
          <w:szCs w:val="44"/>
          <w:lang w:val="en-US" w:eastAsia="zh-CN"/>
        </w:rPr>
        <w:t>不合格（问题）食品核查处置任务通知</w:t>
      </w:r>
      <w:r>
        <w:rPr>
          <w:rFonts w:hint="eastAsia" w:ascii="方正小标宋简体" w:hAnsi="宋体" w:eastAsia="方正小标宋简体" w:cs="方正小标宋简体"/>
          <w:b w:val="0"/>
          <w:bCs w:val="0"/>
          <w:sz w:val="44"/>
          <w:szCs w:val="44"/>
          <w:lang w:val="en-US" w:eastAsia="zh-CN"/>
        </w:rPr>
        <w:t>书</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jc w:val="left"/>
        <w:textAlignment w:val="auto"/>
        <w:rPr>
          <w:rFonts w:hint="eastAsia" w:ascii="仿宋" w:hAnsi="仿宋" w:eastAsia="仿宋" w:cs="仿宋"/>
          <w:b w:val="0"/>
          <w:bCs w:val="0"/>
          <w:color w:val="000000"/>
          <w:sz w:val="32"/>
          <w:u w:val="singl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jc w:val="left"/>
        <w:textAlignment w:val="auto"/>
        <w:rPr>
          <w:rFonts w:hint="eastAsia" w:ascii="仿宋" w:hAnsi="仿宋" w:eastAsia="仿宋" w:cs="仿宋"/>
          <w:b w:val="0"/>
          <w:bCs w:val="0"/>
          <w:color w:val="000000"/>
          <w:sz w:val="32"/>
        </w:rPr>
      </w:pPr>
      <w:r>
        <w:rPr>
          <w:rFonts w:hint="eastAsia" w:ascii="仿宋" w:hAnsi="仿宋" w:eastAsia="仿宋" w:cs="仿宋"/>
          <w:b w:val="0"/>
          <w:bCs w:val="0"/>
          <w:color w:val="000000"/>
          <w:sz w:val="32"/>
          <w:u w:val="single"/>
          <w:lang w:val="en-US" w:eastAsia="zh-CN"/>
        </w:rPr>
        <w:t xml:space="preserve">                     </w:t>
      </w:r>
      <w:r>
        <w:rPr>
          <w:rFonts w:hint="eastAsia" w:ascii="仿宋" w:hAnsi="仿宋" w:eastAsia="仿宋" w:cs="仿宋"/>
          <w:b w:val="0"/>
          <w:bCs w:val="0"/>
          <w:color w:val="000000"/>
          <w:sz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ascii="仿宋" w:hAnsi="仿宋" w:eastAsia="仿宋" w:cs="仿宋"/>
          <w:b w:val="0"/>
          <w:bCs w:val="0"/>
          <w:i w:val="0"/>
          <w:caps w:val="0"/>
          <w:color w:val="333333"/>
          <w:spacing w:val="0"/>
          <w:sz w:val="32"/>
          <w:szCs w:val="32"/>
          <w:shd w:val="clear" w:color="auto" w:fill="FFFFFF"/>
        </w:rPr>
      </w:pPr>
      <w:r>
        <w:rPr>
          <w:rFonts w:hint="eastAsia" w:ascii="仿宋" w:hAnsi="仿宋" w:eastAsia="仿宋" w:cs="仿宋"/>
          <w:b w:val="0"/>
          <w:bCs w:val="0"/>
          <w:color w:val="000000"/>
          <w:sz w:val="32"/>
          <w:lang w:eastAsia="zh-CN"/>
        </w:rPr>
        <w:t>任务类型</w:t>
      </w:r>
      <w:r>
        <w:rPr>
          <w:rFonts w:hint="eastAsia" w:ascii="仿宋" w:hAnsi="仿宋" w:eastAsia="仿宋" w:cs="仿宋"/>
          <w:b w:val="0"/>
          <w:bCs w:val="0"/>
          <w:color w:val="000000"/>
          <w:sz w:val="32"/>
        </w:rPr>
        <w:t>：</w:t>
      </w:r>
      <w:r>
        <w:rPr>
          <w:rFonts w:hint="eastAsia" w:ascii="仿宋" w:hAnsi="仿宋" w:eastAsia="仿宋" w:cs="仿宋"/>
          <w:b w:val="0"/>
          <w:bCs w:val="0"/>
          <w:color w:val="000000"/>
          <w:sz w:val="32"/>
          <w:szCs w:val="32"/>
          <w:lang w:eastAsia="zh-CN"/>
        </w:rPr>
        <w:t>省级转办、督办</w:t>
      </w:r>
      <w:r>
        <w:rPr>
          <w:rFonts w:hint="eastAsia" w:ascii="仿宋" w:hAnsi="仿宋" w:eastAsia="仿宋" w:cs="仿宋"/>
          <w:b w:val="0"/>
          <w:bCs w:val="0"/>
          <w:i w:val="0"/>
          <w:caps w:val="0"/>
          <w:color w:val="333333"/>
          <w:spacing w:val="0"/>
          <w:sz w:val="32"/>
          <w:szCs w:val="32"/>
          <w:shd w:val="clear" w:color="auto" w:fill="FFFFFF"/>
        </w:rPr>
        <w:t>□</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不合格</w:t>
      </w:r>
      <w:r>
        <w:rPr>
          <w:rFonts w:hint="eastAsia" w:ascii="仿宋" w:hAnsi="仿宋" w:eastAsia="仿宋" w:cs="仿宋"/>
          <w:b w:val="0"/>
          <w:bCs w:val="0"/>
          <w:i w:val="0"/>
          <w:caps w:val="0"/>
          <w:color w:val="333333"/>
          <w:spacing w:val="0"/>
          <w:sz w:val="32"/>
          <w:szCs w:val="32"/>
          <w:shd w:val="clear" w:color="auto" w:fill="FFFFFF"/>
        </w:rPr>
        <w:t>□</w:t>
      </w:r>
      <w:r>
        <w:rPr>
          <w:rFonts w:hint="eastAsia" w:ascii="仿宋" w:hAnsi="仿宋" w:eastAsia="仿宋" w:cs="仿宋"/>
          <w:b w:val="0"/>
          <w:bCs w:val="0"/>
          <w:i w:val="0"/>
          <w:caps w:val="0"/>
          <w:color w:val="333333"/>
          <w:spacing w:val="0"/>
          <w:sz w:val="32"/>
          <w:szCs w:val="32"/>
          <w:shd w:val="clear" w:color="auto" w:fill="FFFFFF"/>
          <w:lang w:val="en-US" w:eastAsia="zh-CN"/>
        </w:rPr>
        <w:t xml:space="preserve">     问题</w:t>
      </w:r>
      <w:r>
        <w:rPr>
          <w:rFonts w:hint="eastAsia" w:ascii="仿宋" w:hAnsi="仿宋" w:eastAsia="仿宋" w:cs="仿宋"/>
          <w:b w:val="0"/>
          <w:bCs w:val="0"/>
          <w:i w:val="0"/>
          <w:caps w:val="0"/>
          <w:color w:val="333333"/>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jc w:val="left"/>
        <w:textAlignment w:val="auto"/>
        <w:rPr>
          <w:rFonts w:hint="eastAsia" w:ascii="仿宋" w:hAnsi="仿宋" w:eastAsia="仿宋" w:cs="仿宋"/>
          <w:b w:val="0"/>
          <w:bCs w:val="0"/>
          <w:color w:val="000000"/>
          <w:sz w:val="32"/>
        </w:rPr>
      </w:pPr>
      <w:r>
        <w:rPr>
          <w:rFonts w:hint="eastAsia" w:ascii="仿宋" w:hAnsi="仿宋" w:eastAsia="仿宋" w:cs="仿宋"/>
          <w:b w:val="0"/>
          <w:bCs w:val="0"/>
          <w:color w:val="000000"/>
          <w:sz w:val="32"/>
        </w:rPr>
        <w:t>抽检单编号：</w:t>
      </w:r>
      <w:r>
        <w:rPr>
          <w:rFonts w:hint="eastAsia" w:ascii="仿宋" w:hAnsi="仿宋" w:eastAsia="仿宋" w:cs="仿宋"/>
          <w:b w:val="0"/>
          <w:bCs w:val="0"/>
          <w:color w:val="000000"/>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jc w:val="left"/>
        <w:textAlignment w:val="auto"/>
        <w:rPr>
          <w:rFonts w:hint="eastAsia" w:ascii="仿宋" w:hAnsi="仿宋" w:eastAsia="仿宋" w:cs="仿宋"/>
          <w:b w:val="0"/>
          <w:bCs w:val="0"/>
          <w:color w:val="000000"/>
          <w:sz w:val="32"/>
          <w:lang w:val="en-US"/>
        </w:rPr>
      </w:pPr>
      <w:r>
        <w:rPr>
          <w:rFonts w:hint="eastAsia" w:ascii="仿宋" w:hAnsi="仿宋" w:eastAsia="仿宋" w:cs="仿宋"/>
          <w:b w:val="0"/>
          <w:bCs w:val="0"/>
          <w:color w:val="000000"/>
          <w:sz w:val="32"/>
        </w:rPr>
        <w:t>产品名称：</w:t>
      </w:r>
      <w:r>
        <w:rPr>
          <w:rFonts w:hint="eastAsia" w:ascii="仿宋" w:hAnsi="仿宋" w:eastAsia="仿宋" w:cs="仿宋"/>
          <w:b w:val="0"/>
          <w:bCs w:val="0"/>
          <w:color w:val="000000"/>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jc w:val="left"/>
        <w:textAlignment w:val="auto"/>
        <w:rPr>
          <w:rFonts w:hint="eastAsia" w:ascii="仿宋" w:hAnsi="仿宋" w:eastAsia="仿宋" w:cs="仿宋"/>
          <w:b w:val="0"/>
          <w:bCs w:val="0"/>
          <w:color w:val="000000"/>
          <w:sz w:val="32"/>
        </w:rPr>
      </w:pPr>
      <w:r>
        <w:rPr>
          <w:rFonts w:hint="eastAsia" w:ascii="仿宋" w:hAnsi="仿宋" w:eastAsia="仿宋" w:cs="仿宋"/>
          <w:b w:val="0"/>
          <w:bCs w:val="0"/>
          <w:color w:val="000000"/>
          <w:sz w:val="32"/>
        </w:rPr>
        <w:t>环节</w:t>
      </w:r>
      <w:r>
        <w:rPr>
          <w:rFonts w:hint="eastAsia" w:ascii="仿宋" w:hAnsi="仿宋" w:eastAsia="仿宋" w:cs="仿宋"/>
          <w:b w:val="0"/>
          <w:bCs w:val="0"/>
          <w:color w:val="000000"/>
          <w:sz w:val="32"/>
          <w:lang w:eastAsia="zh-CN"/>
        </w:rPr>
        <w:t>：</w:t>
      </w:r>
      <w:r>
        <w:rPr>
          <w:rFonts w:hint="eastAsia" w:ascii="仿宋" w:hAnsi="仿宋" w:eastAsia="仿宋" w:cs="仿宋"/>
          <w:b w:val="0"/>
          <w:bCs w:val="0"/>
          <w:color w:val="000000"/>
          <w:sz w:val="32"/>
        </w:rPr>
        <w:t xml:space="preserve">生产环节□ 经营环节□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left"/>
        <w:textAlignment w:val="auto"/>
        <w:outlineLvl w:val="9"/>
        <w:rPr>
          <w:rFonts w:hint="eastAsia" w:ascii="仿宋" w:hAnsi="仿宋" w:eastAsia="仿宋" w:cs="仿宋"/>
          <w:b w:val="0"/>
          <w:bCs w:val="0"/>
          <w:color w:val="000000"/>
          <w:sz w:val="32"/>
        </w:rPr>
      </w:pPr>
      <w:r>
        <w:rPr>
          <w:rFonts w:hint="eastAsia" w:ascii="仿宋" w:hAnsi="仿宋" w:eastAsia="仿宋" w:cs="仿宋"/>
          <w:b w:val="0"/>
          <w:bCs w:val="0"/>
          <w:color w:val="000000"/>
          <w:sz w:val="32"/>
        </w:rPr>
        <w:t>根据职责分工，现将该核查处置任务分派你单位处置，请于</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 w:hAnsi="仿宋" w:eastAsia="仿宋" w:cs="仿宋"/>
          <w:b w:val="0"/>
          <w:bCs w:val="0"/>
          <w:color w:val="000000"/>
          <w:sz w:val="32"/>
        </w:rPr>
      </w:pPr>
      <w:r>
        <w:rPr>
          <w:rFonts w:hint="eastAsia" w:ascii="仿宋" w:hAnsi="仿宋" w:eastAsia="仿宋" w:cs="仿宋"/>
          <w:b w:val="0"/>
          <w:bCs w:val="0"/>
          <w:color w:val="000000"/>
          <w:sz w:val="32"/>
          <w:u w:val="single"/>
          <w:lang w:val="en-US" w:eastAsia="zh-CN"/>
        </w:rPr>
        <w:t xml:space="preserve">      </w:t>
      </w:r>
      <w:r>
        <w:rPr>
          <w:rFonts w:hint="eastAsia" w:ascii="仿宋" w:hAnsi="仿宋" w:eastAsia="仿宋" w:cs="仿宋"/>
          <w:b w:val="0"/>
          <w:bCs w:val="0"/>
          <w:color w:val="000000"/>
          <w:sz w:val="32"/>
        </w:rPr>
        <w:t>年</w:t>
      </w:r>
      <w:r>
        <w:rPr>
          <w:rFonts w:hint="eastAsia" w:ascii="仿宋" w:hAnsi="仿宋" w:eastAsia="仿宋" w:cs="仿宋"/>
          <w:b w:val="0"/>
          <w:bCs w:val="0"/>
          <w:color w:val="000000"/>
          <w:sz w:val="32"/>
          <w:u w:val="single"/>
          <w:lang w:val="en-US" w:eastAsia="zh-CN"/>
        </w:rPr>
        <w:t xml:space="preserve">    </w:t>
      </w:r>
      <w:r>
        <w:rPr>
          <w:rFonts w:hint="eastAsia" w:ascii="仿宋" w:hAnsi="仿宋" w:eastAsia="仿宋" w:cs="仿宋"/>
          <w:b w:val="0"/>
          <w:bCs w:val="0"/>
          <w:color w:val="000000"/>
          <w:sz w:val="32"/>
        </w:rPr>
        <w:t>月</w:t>
      </w:r>
      <w:r>
        <w:rPr>
          <w:rFonts w:hint="eastAsia" w:ascii="仿宋" w:hAnsi="仿宋" w:eastAsia="仿宋" w:cs="仿宋"/>
          <w:b w:val="0"/>
          <w:bCs w:val="0"/>
          <w:color w:val="000000"/>
          <w:sz w:val="32"/>
          <w:u w:val="single"/>
          <w:lang w:val="en-US" w:eastAsia="zh-CN"/>
        </w:rPr>
        <w:t xml:space="preserve">    </w:t>
      </w:r>
      <w:r>
        <w:rPr>
          <w:rFonts w:hint="eastAsia" w:ascii="仿宋" w:hAnsi="仿宋" w:eastAsia="仿宋" w:cs="仿宋"/>
          <w:b w:val="0"/>
          <w:bCs w:val="0"/>
          <w:color w:val="000000"/>
          <w:sz w:val="32"/>
        </w:rPr>
        <w:t>日前内将《检验报告》（电子报告或纸质报告）、《</w:t>
      </w:r>
      <w:r>
        <w:rPr>
          <w:rFonts w:hint="eastAsia" w:ascii="仿宋" w:hAnsi="仿宋" w:eastAsia="仿宋" w:cs="仿宋"/>
          <w:b w:val="0"/>
          <w:bCs w:val="0"/>
          <w:color w:val="000000"/>
          <w:sz w:val="32"/>
          <w:lang w:eastAsia="zh-CN"/>
        </w:rPr>
        <w:t>国家</w:t>
      </w:r>
      <w:r>
        <w:rPr>
          <w:rFonts w:hint="eastAsia" w:ascii="仿宋" w:hAnsi="仿宋" w:eastAsia="仿宋" w:cs="仿宋"/>
          <w:b w:val="0"/>
          <w:bCs w:val="0"/>
          <w:color w:val="000000"/>
          <w:sz w:val="32"/>
        </w:rPr>
        <w:t>食品安全抽样抽检结果通知书》等文书送达（告知）食品生产经营者，同时启动核查处置工作，并将送达（告知）情况反馈食品</w:t>
      </w:r>
      <w:r>
        <w:rPr>
          <w:rFonts w:hint="eastAsia" w:ascii="仿宋" w:hAnsi="仿宋" w:eastAsia="仿宋" w:cs="仿宋"/>
          <w:b w:val="0"/>
          <w:bCs w:val="0"/>
          <w:color w:val="000000"/>
          <w:sz w:val="32"/>
          <w:lang w:eastAsia="zh-CN"/>
        </w:rPr>
        <w:t>协调</w:t>
      </w:r>
      <w:r>
        <w:rPr>
          <w:rFonts w:hint="eastAsia" w:ascii="仿宋" w:hAnsi="仿宋" w:eastAsia="仿宋" w:cs="仿宋"/>
          <w:b w:val="0"/>
          <w:bCs w:val="0"/>
          <w:color w:val="000000"/>
          <w:sz w:val="32"/>
        </w:rPr>
        <w:t>处（科）室。</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3792" w:firstLineChars="1200"/>
        <w:jc w:val="left"/>
        <w:textAlignment w:val="auto"/>
        <w:rPr>
          <w:rFonts w:hint="eastAsia" w:ascii="仿宋" w:hAnsi="仿宋" w:eastAsia="仿宋" w:cs="仿宋"/>
          <w:b w:val="0"/>
          <w:bCs w:val="0"/>
          <w:color w:val="000000"/>
          <w:sz w:val="32"/>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3792" w:firstLineChars="1200"/>
        <w:jc w:val="left"/>
        <w:textAlignment w:val="auto"/>
        <w:rPr>
          <w:rFonts w:hint="eastAsia" w:ascii="仿宋" w:hAnsi="仿宋" w:eastAsia="仿宋" w:cs="仿宋"/>
          <w:b w:val="0"/>
          <w:bCs w:val="0"/>
          <w:color w:val="000000"/>
          <w:sz w:val="32"/>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3792" w:firstLineChars="1200"/>
        <w:jc w:val="left"/>
        <w:textAlignment w:val="auto"/>
        <w:rPr>
          <w:rFonts w:hint="eastAsia" w:ascii="仿宋" w:hAnsi="仿宋" w:eastAsia="仿宋" w:cs="仿宋"/>
          <w:b w:val="0"/>
          <w:bCs w:val="0"/>
          <w:color w:val="000000"/>
          <w:sz w:val="32"/>
        </w:rPr>
      </w:pPr>
      <w:r>
        <w:rPr>
          <w:rFonts w:hint="eastAsia" w:ascii="仿宋" w:hAnsi="仿宋" w:eastAsia="仿宋" w:cs="仿宋"/>
          <w:b w:val="0"/>
          <w:bCs w:val="0"/>
          <w:color w:val="000000"/>
          <w:sz w:val="32"/>
        </w:rPr>
        <w:t>发出单位：</w:t>
      </w:r>
      <w:r>
        <w:rPr>
          <w:rFonts w:hint="eastAsia" w:ascii="仿宋" w:hAnsi="仿宋" w:eastAsia="仿宋" w:cs="仿宋"/>
          <w:b w:val="0"/>
          <w:bCs w:val="0"/>
          <w:color w:val="000000"/>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4424" w:firstLineChars="1400"/>
        <w:jc w:val="both"/>
        <w:textAlignment w:val="auto"/>
        <w:rPr>
          <w:rFonts w:hint="eastAsia" w:ascii="仿宋" w:hAnsi="仿宋" w:eastAsia="仿宋" w:cs="仿宋"/>
          <w:b w:val="0"/>
          <w:bCs w:val="0"/>
          <w:color w:val="000000"/>
          <w:sz w:val="32"/>
          <w:u w:val="singl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4424" w:firstLineChars="1400"/>
        <w:jc w:val="both"/>
        <w:textAlignment w:val="auto"/>
        <w:rPr>
          <w:rFonts w:hint="eastAsia" w:ascii="仿宋" w:hAnsi="仿宋" w:eastAsia="仿宋" w:cs="仿宋"/>
          <w:b w:val="0"/>
          <w:bCs w:val="0"/>
          <w:color w:val="000000"/>
          <w:sz w:val="32"/>
        </w:rPr>
      </w:pPr>
      <w:r>
        <w:rPr>
          <w:rFonts w:hint="eastAsia" w:ascii="仿宋" w:hAnsi="仿宋" w:eastAsia="仿宋" w:cs="仿宋"/>
          <w:b w:val="0"/>
          <w:bCs w:val="0"/>
          <w:color w:val="000000"/>
          <w:sz w:val="32"/>
          <w:u w:val="single"/>
          <w:lang w:val="en-US" w:eastAsia="zh-CN"/>
        </w:rPr>
        <w:t xml:space="preserve">     </w:t>
      </w:r>
      <w:r>
        <w:rPr>
          <w:rFonts w:hint="eastAsia" w:ascii="仿宋" w:hAnsi="仿宋" w:eastAsia="仿宋" w:cs="仿宋"/>
          <w:b w:val="0"/>
          <w:bCs w:val="0"/>
          <w:color w:val="000000"/>
          <w:sz w:val="32"/>
        </w:rPr>
        <w:t>年</w:t>
      </w:r>
      <w:r>
        <w:rPr>
          <w:rFonts w:hint="eastAsia" w:ascii="仿宋" w:hAnsi="仿宋" w:eastAsia="仿宋" w:cs="仿宋"/>
          <w:b w:val="0"/>
          <w:bCs w:val="0"/>
          <w:color w:val="000000"/>
          <w:sz w:val="32"/>
          <w:u w:val="single"/>
          <w:lang w:val="en-US" w:eastAsia="zh-CN"/>
        </w:rPr>
        <w:t xml:space="preserve">    </w:t>
      </w:r>
      <w:r>
        <w:rPr>
          <w:rFonts w:hint="eastAsia" w:ascii="仿宋" w:hAnsi="仿宋" w:eastAsia="仿宋" w:cs="仿宋"/>
          <w:b w:val="0"/>
          <w:bCs w:val="0"/>
          <w:color w:val="000000"/>
          <w:sz w:val="32"/>
        </w:rPr>
        <w:t>月</w:t>
      </w:r>
      <w:r>
        <w:rPr>
          <w:rFonts w:hint="eastAsia" w:ascii="仿宋" w:hAnsi="仿宋" w:eastAsia="仿宋" w:cs="仿宋"/>
          <w:b w:val="0"/>
          <w:bCs w:val="0"/>
          <w:color w:val="000000"/>
          <w:sz w:val="32"/>
          <w:u w:val="single"/>
          <w:lang w:val="en-US" w:eastAsia="zh-CN"/>
        </w:rPr>
        <w:t xml:space="preserve">    </w:t>
      </w:r>
      <w:r>
        <w:rPr>
          <w:rFonts w:hint="eastAsia" w:ascii="仿宋" w:hAnsi="仿宋" w:eastAsia="仿宋" w:cs="仿宋"/>
          <w:b w:val="0"/>
          <w:bCs w:val="0"/>
          <w:color w:val="000000"/>
          <w:sz w:val="32"/>
        </w:rPr>
        <w:t>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4424" w:firstLineChars="1400"/>
        <w:jc w:val="both"/>
        <w:textAlignment w:val="auto"/>
        <w:rPr>
          <w:rFonts w:hint="eastAsia" w:ascii="FangSong_GB2312" w:hAnsi="FangSong_GB2312" w:eastAsia="FangSong_GB2312"/>
          <w:b w:val="0"/>
          <w:bCs w:val="0"/>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ascii="仿宋" w:hAnsi="仿宋" w:eastAsia="仿宋"/>
          <w:b w:val="0"/>
          <w:bCs w:val="0"/>
        </w:rPr>
        <w:sectPr>
          <w:pgSz w:w="11907" w:h="16840"/>
          <w:pgMar w:top="2098" w:right="1474" w:bottom="1984" w:left="1587" w:header="851" w:footer="1531" w:gutter="0"/>
          <w:pgBorders>
            <w:top w:val="none" w:sz="0" w:space="0"/>
            <w:left w:val="none" w:sz="0" w:space="0"/>
            <w:bottom w:val="none" w:sz="0" w:space="0"/>
            <w:right w:val="none" w:sz="0" w:space="0"/>
          </w:pgBorders>
          <w:cols w:space="0" w:num="1"/>
          <w:rtlGutter w:val="0"/>
          <w:docGrid w:type="linesAndChars" w:linePitch="589" w:charSpace="-834"/>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b w:val="0"/>
          <w:bCs w:val="0"/>
          <w:sz w:val="30"/>
          <w:szCs w:val="30"/>
          <w:lang w:val="en-US" w:eastAsia="zh-CN"/>
        </w:rPr>
      </w:pPr>
      <w:r>
        <w:rPr>
          <w:rFonts w:hint="eastAsia"/>
          <w:b w:val="0"/>
          <w:bCs w:val="0"/>
          <w:sz w:val="32"/>
          <w:szCs w:val="32"/>
          <w:u w:val="single"/>
          <w:lang w:val="en-US" w:eastAsia="zh-CN"/>
        </w:rPr>
        <w:t xml:space="preserve">          </w:t>
      </w:r>
      <w:r>
        <w:rPr>
          <w:rFonts w:hint="eastAsia" w:ascii="方正小标宋简体" w:hAnsi="宋体" w:eastAsia="方正小标宋简体" w:cs="方正小标宋简体"/>
          <w:b w:val="0"/>
          <w:bCs w:val="0"/>
          <w:sz w:val="44"/>
          <w:szCs w:val="44"/>
          <w:lang w:val="en-US" w:eastAsia="zh-CN"/>
        </w:rPr>
        <w:t>年不合格（问题）食品核查处置工作台账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552" w:firstLineChars="1200"/>
        <w:textAlignment w:val="auto"/>
        <w:rPr>
          <w:rFonts w:hint="eastAsia"/>
          <w:b w:val="0"/>
          <w:bCs w:val="0"/>
          <w:sz w:val="30"/>
          <w:szCs w:val="30"/>
          <w:lang w:val="en-US" w:eastAsia="zh-CN"/>
        </w:rPr>
      </w:pPr>
    </w:p>
    <w:tbl>
      <w:tblPr>
        <w:tblStyle w:val="17"/>
        <w:tblW w:w="14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29"/>
        <w:gridCol w:w="1429"/>
        <w:gridCol w:w="1128"/>
        <w:gridCol w:w="1433"/>
        <w:gridCol w:w="1850"/>
        <w:gridCol w:w="1300"/>
        <w:gridCol w:w="1068"/>
        <w:gridCol w:w="1068"/>
        <w:gridCol w:w="1068"/>
        <w:gridCol w:w="107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序号</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任务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类型</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抽样单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编号</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样品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名称</w:t>
            </w:r>
          </w:p>
        </w:tc>
        <w:tc>
          <w:tcPr>
            <w:tcW w:w="14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核查创建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时间</w:t>
            </w: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lang w:val="en-US" w:eastAsia="zh-CN"/>
              </w:rPr>
              <w:t>具体案件</w:t>
            </w:r>
            <w:r>
              <w:rPr>
                <w:rFonts w:hint="eastAsia" w:ascii="黑体" w:hAnsi="黑体" w:eastAsia="黑体" w:cs="黑体"/>
                <w:b w:val="0"/>
                <w:bCs w:val="0"/>
                <w:color w:val="000000"/>
                <w:sz w:val="28"/>
                <w:szCs w:val="28"/>
                <w:lang w:eastAsia="zh-CN"/>
              </w:rPr>
              <w:t>承办机构（人）</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是否5日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送达</w:t>
            </w: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是否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立案</w:t>
            </w: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是否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整改</w:t>
            </w: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是否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处罚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是否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超期</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lang w:eastAsia="zh-CN"/>
              </w:rPr>
            </w:pPr>
          </w:p>
        </w:tc>
        <w:tc>
          <w:tcPr>
            <w:tcW w:w="14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lang w:eastAsia="zh-CN"/>
              </w:rPr>
            </w:pPr>
          </w:p>
        </w:tc>
        <w:tc>
          <w:tcPr>
            <w:tcW w:w="14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lang w:eastAsia="zh-CN"/>
              </w:rPr>
            </w:pPr>
          </w:p>
        </w:tc>
        <w:tc>
          <w:tcPr>
            <w:tcW w:w="14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lang w:eastAsia="zh-CN"/>
              </w:rPr>
            </w:pPr>
          </w:p>
        </w:tc>
        <w:tc>
          <w:tcPr>
            <w:tcW w:w="14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eastAsia="zh-CN"/>
        </w:rPr>
        <w:br w:type="page"/>
      </w:r>
      <w:r>
        <w:rPr>
          <w:rFonts w:hint="eastAsia" w:ascii="黑体" w:hAnsi="黑体" w:eastAsia="黑体" w:cs="黑体"/>
          <w:b w:val="0"/>
          <w:bCs w:val="0"/>
          <w:lang w:val="en-US" w:eastAsia="zh-CN"/>
        </w:rPr>
        <w:t>附件4</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12" w:firstLineChars="200"/>
        <w:jc w:val="center"/>
        <w:textAlignment w:val="auto"/>
        <w:rPr>
          <w:rFonts w:hint="eastAsia" w:ascii="FangSong_GB2312" w:hAnsi="FangSong_GB2312" w:eastAsia="FangSong_GB2312"/>
          <w:b w:val="0"/>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宋体" w:eastAsia="方正小标宋简体" w:cs="方正小标宋简体"/>
          <w:b w:val="0"/>
          <w:bCs w:val="0"/>
          <w:sz w:val="44"/>
          <w:szCs w:val="44"/>
          <w:lang w:val="en-US" w:eastAsia="zh-CN"/>
        </w:rPr>
      </w:pPr>
      <w:r>
        <w:rPr>
          <w:rFonts w:hint="eastAsia" w:ascii="方正小标宋简体" w:hAnsi="宋体" w:eastAsia="方正小标宋简体" w:cs="方正小标宋简体"/>
          <w:b w:val="0"/>
          <w:bCs w:val="0"/>
          <w:sz w:val="44"/>
          <w:szCs w:val="44"/>
          <w:lang w:val="en-US" w:eastAsia="zh-CN"/>
        </w:rPr>
        <w:t>不合格（问题）食品核查处置任务周通报表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48" w:firstLineChars="800"/>
        <w:jc w:val="center"/>
        <w:textAlignment w:val="auto"/>
        <w:rPr>
          <w:rFonts w:hint="eastAsia" w:ascii="FangSong_GB2312" w:hAnsi="FangSong_GB2312" w:eastAsia="FangSong_GB2312"/>
          <w:b w:val="0"/>
          <w:bCs w:val="0"/>
          <w:color w:val="000000"/>
          <w:sz w:val="36"/>
          <w:szCs w:val="36"/>
          <w:lang w:val="en-US" w:eastAsia="zh-CN"/>
        </w:rPr>
      </w:pPr>
    </w:p>
    <w:tbl>
      <w:tblPr>
        <w:tblStyle w:val="17"/>
        <w:tblW w:w="14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22"/>
        <w:gridCol w:w="1231"/>
        <w:gridCol w:w="2195"/>
        <w:gridCol w:w="2574"/>
        <w:gridCol w:w="2573"/>
        <w:gridCol w:w="25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0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序号</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核查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地区</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抽样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编号</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5日内</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未启动案件</w:t>
            </w:r>
          </w:p>
        </w:tc>
        <w:tc>
          <w:tcPr>
            <w:tcW w:w="257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黄色警示任务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（超70日）</w:t>
            </w:r>
          </w:p>
        </w:tc>
        <w:tc>
          <w:tcPr>
            <w:tcW w:w="257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橙色警示任务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（超80日）</w:t>
            </w:r>
          </w:p>
        </w:tc>
        <w:tc>
          <w:tcPr>
            <w:tcW w:w="25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红色警示任务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（超90日）</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05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32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19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8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05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32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19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8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05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32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19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8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05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32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19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25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875"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eastAsia="zh-CN"/>
        </w:rPr>
        <w:br w:type="page"/>
      </w:r>
      <w:r>
        <w:rPr>
          <w:rFonts w:hint="eastAsia" w:ascii="黑体" w:hAnsi="黑体" w:eastAsia="黑体" w:cs="黑体"/>
          <w:b w:val="0"/>
          <w:bCs w:val="0"/>
          <w:lang w:val="en-US" w:eastAsia="zh-CN"/>
        </w:rPr>
        <w:t>附件5</w:t>
      </w:r>
    </w:p>
    <w:p>
      <w:pPr>
        <w:ind w:firstLine="3916" w:firstLineChars="1100"/>
        <w:rPr>
          <w:rFonts w:hint="eastAsia" w:ascii="方正小标宋简体" w:hAnsi="方正小标宋简体" w:eastAsia="方正小标宋简体"/>
          <w:b w:val="0"/>
          <w:bCs w:val="0"/>
          <w:color w:val="000000"/>
          <w:sz w:val="36"/>
          <w:lang w:val="en-US" w:eastAsia="zh-CN"/>
        </w:rPr>
      </w:pP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eastAsia" w:ascii="方正小标宋简体" w:hAnsi="宋体" w:eastAsia="方正小标宋简体" w:cs="方正小标宋简体"/>
          <w:b w:val="0"/>
          <w:bCs w:val="0"/>
          <w:sz w:val="44"/>
          <w:szCs w:val="44"/>
          <w:lang w:val="en-US" w:eastAsia="zh-CN"/>
        </w:rPr>
      </w:pPr>
      <w:r>
        <w:rPr>
          <w:rFonts w:hint="eastAsia" w:ascii="方正小标宋简体" w:hAnsi="宋体" w:eastAsia="方正小标宋简体" w:cs="方正小标宋简体"/>
          <w:b w:val="0"/>
          <w:bCs w:val="0"/>
          <w:sz w:val="44"/>
          <w:szCs w:val="44"/>
          <w:lang w:val="en-US" w:eastAsia="zh-CN"/>
        </w:rPr>
        <w:t>已超期或即将到期的核查处置任务清单</w:t>
      </w: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eastAsia" w:ascii="方正小标宋简体" w:hAnsi="宋体" w:eastAsia="方正小标宋简体" w:cs="方正小标宋简体"/>
          <w:b w:val="0"/>
          <w:bCs w:val="0"/>
          <w:sz w:val="44"/>
          <w:szCs w:val="44"/>
          <w:lang w:val="en-US" w:eastAsia="zh-CN"/>
        </w:rPr>
      </w:pPr>
    </w:p>
    <w:p>
      <w:pPr>
        <w:keepNext w:val="0"/>
        <w:keepLines w:val="0"/>
        <w:widowControl/>
        <w:suppressLineNumbers w:val="0"/>
        <w:jc w:val="righ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时间：    年    月    日</w:t>
      </w:r>
    </w:p>
    <w:tbl>
      <w:tblPr>
        <w:tblStyle w:val="17"/>
        <w:tblW w:w="13860" w:type="dxa"/>
        <w:jc w:val="center"/>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928"/>
        <w:gridCol w:w="1692"/>
        <w:gridCol w:w="1584"/>
        <w:gridCol w:w="1613"/>
        <w:gridCol w:w="1917"/>
        <w:gridCol w:w="1901"/>
        <w:gridCol w:w="1233"/>
        <w:gridCol w:w="1266"/>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8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地区</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序号</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抽样单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编号</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任务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类型</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样品名称</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核查创建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时间</w:t>
            </w:r>
          </w:p>
        </w:tc>
        <w:tc>
          <w:tcPr>
            <w:tcW w:w="19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处置到期</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时间</w:t>
            </w: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处置</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环节</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处置</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状态</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8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28"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9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58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1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17"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0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6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40"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8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28"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9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58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1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17"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0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6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40"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8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28"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9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58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1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17"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0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6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40"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8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28"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92"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584"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61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17"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901"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33"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1266"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c>
          <w:tcPr>
            <w:tcW w:w="940" w:type="dxa"/>
            <w:vAlign w:val="center"/>
          </w:tcPr>
          <w:p>
            <w:pPr>
              <w:widowControl w:val="0"/>
              <w:spacing w:beforeLines="0" w:afterLines="0"/>
              <w:jc w:val="center"/>
              <w:rPr>
                <w:rFonts w:hint="eastAsia" w:ascii="FangSong_GB2312" w:hAnsi="FangSong_GB2312" w:eastAsia="FangSong_GB2312"/>
                <w:b w:val="0"/>
                <w:bCs w:val="0"/>
                <w:color w:val="000000"/>
                <w:sz w:val="36"/>
                <w:szCs w:val="3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ascii="仿宋" w:hAnsi="仿宋" w:eastAsia="仿宋"/>
          <w:b w:val="0"/>
          <w:bCs w:val="0"/>
        </w:rPr>
        <w:sectPr>
          <w:pgSz w:w="16840" w:h="11907" w:orient="landscape"/>
          <w:pgMar w:top="1587" w:right="2098" w:bottom="1474" w:left="1984" w:header="851" w:footer="1531" w:gutter="0"/>
          <w:pgBorders>
            <w:top w:val="none" w:sz="0" w:space="0"/>
            <w:left w:val="none" w:sz="0" w:space="0"/>
            <w:bottom w:val="none" w:sz="0" w:space="0"/>
            <w:right w:val="none" w:sz="0" w:space="0"/>
          </w:pgBorders>
          <w:cols w:space="0" w:num="1"/>
          <w:rtlGutter w:val="0"/>
          <w:docGrid w:type="linesAndChars" w:linePitch="589" w:charSpace="-834"/>
        </w:sect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附件6</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黑体" w:hAnsi="黑体" w:eastAsia="黑体" w:cs="黑体"/>
          <w:b w:val="0"/>
          <w:bCs w:val="0"/>
          <w:lang w:val="en-US" w:eastAsia="zh-CN"/>
        </w:rPr>
      </w:pP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eastAsia" w:ascii="方正小标宋简体" w:hAnsi="宋体" w:eastAsia="方正小标宋简体" w:cs="方正小标宋简体"/>
          <w:b w:val="0"/>
          <w:bCs w:val="0"/>
          <w:sz w:val="44"/>
          <w:szCs w:val="44"/>
          <w:lang w:val="en-US" w:eastAsia="zh-CN"/>
        </w:rPr>
      </w:pPr>
      <w:r>
        <w:rPr>
          <w:rFonts w:hint="eastAsia" w:ascii="方正小标宋简体" w:hAnsi="宋体" w:eastAsia="方正小标宋简体" w:cs="方正小标宋简体"/>
          <w:b w:val="0"/>
          <w:bCs w:val="0"/>
          <w:sz w:val="44"/>
          <w:szCs w:val="44"/>
          <w:lang w:val="en-US" w:eastAsia="zh-CN"/>
        </w:rPr>
        <w:t>不合格（问题）食品核查处置督办单</w:t>
      </w:r>
    </w:p>
    <w:p>
      <w:pPr>
        <w:keepNext w:val="0"/>
        <w:keepLines w:val="0"/>
        <w:widowControl/>
        <w:suppressLineNumbers w:val="0"/>
        <w:jc w:val="left"/>
        <w:rPr>
          <w:rFonts w:hint="eastAsia" w:ascii="仿宋" w:hAnsi="仿宋" w:eastAsia="仿宋" w:cs="仿宋"/>
          <w:b w:val="0"/>
          <w:bCs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8"/>
          <w:szCs w:val="28"/>
          <w:u w:val="single"/>
          <w:lang w:val="en-US" w:eastAsia="zh-CN" w:bidi="ar"/>
        </w:rPr>
      </w:pPr>
      <w:r>
        <w:rPr>
          <w:rFonts w:hint="eastAsia" w:ascii="仿宋" w:hAnsi="仿宋" w:eastAsia="仿宋" w:cs="仿宋"/>
          <w:b w:val="0"/>
          <w:bCs w:val="0"/>
          <w:color w:val="000000"/>
          <w:kern w:val="0"/>
          <w:sz w:val="28"/>
          <w:szCs w:val="28"/>
          <w:lang w:val="en-US" w:eastAsia="zh-CN" w:bidi="ar"/>
        </w:rPr>
        <w:t>日期：   年   月   日                       编号：</w:t>
      </w:r>
      <w:r>
        <w:rPr>
          <w:rFonts w:hint="eastAsia" w:ascii="仿宋" w:hAnsi="仿宋" w:eastAsia="仿宋" w:cs="仿宋"/>
          <w:b w:val="0"/>
          <w:bCs w:val="0"/>
          <w:color w:val="000000"/>
          <w:kern w:val="0"/>
          <w:sz w:val="28"/>
          <w:szCs w:val="28"/>
          <w:u w:val="single"/>
          <w:lang w:val="en-US" w:eastAsia="zh-CN" w:bidi="ar"/>
        </w:rPr>
        <w:t xml:space="preserve">               </w:t>
      </w:r>
    </w:p>
    <w:tbl>
      <w:tblPr>
        <w:tblStyle w:val="17"/>
        <w:tblW w:w="8900" w:type="dxa"/>
        <w:jc w:val="center"/>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2335" w:type="dxa"/>
            <w:vAlign w:val="center"/>
          </w:tcPr>
          <w:p>
            <w:pPr>
              <w:keepNext w:val="0"/>
              <w:keepLines w:val="0"/>
              <w:widowControl/>
              <w:suppressLineNumbers w:val="0"/>
              <w:jc w:val="center"/>
              <w:rPr>
                <w:rFonts w:hint="eastAsia" w:ascii="黑体" w:hAnsi="黑体" w:eastAsia="黑体" w:cs="黑体"/>
                <w:b w:val="0"/>
                <w:bCs w:val="0"/>
                <w:color w:val="000000"/>
                <w:kern w:val="0"/>
                <w:sz w:val="28"/>
                <w:szCs w:val="28"/>
                <w:u w:val="single"/>
                <w:vertAlign w:val="baseline"/>
                <w:lang w:val="en-US" w:eastAsia="zh-CN" w:bidi="ar"/>
              </w:rPr>
            </w:pPr>
            <w:r>
              <w:rPr>
                <w:rFonts w:hint="eastAsia" w:ascii="黑体" w:hAnsi="黑体" w:eastAsia="黑体" w:cs="黑体"/>
                <w:b w:val="0"/>
                <w:bCs w:val="0"/>
                <w:color w:val="000000"/>
                <w:kern w:val="0"/>
                <w:sz w:val="28"/>
                <w:szCs w:val="28"/>
                <w:lang w:val="en-US" w:eastAsia="zh-CN" w:bidi="ar"/>
              </w:rPr>
              <w:t>督办事由</w:t>
            </w:r>
          </w:p>
        </w:tc>
        <w:tc>
          <w:tcPr>
            <w:tcW w:w="6565" w:type="dxa"/>
            <w:vAlign w:val="center"/>
          </w:tcPr>
          <w:p>
            <w:pPr>
              <w:keepNext w:val="0"/>
              <w:keepLines w:val="0"/>
              <w:widowControl/>
              <w:suppressLineNumbers w:val="0"/>
              <w:jc w:val="center"/>
              <w:rPr>
                <w:rFonts w:hint="eastAsia" w:ascii="仿宋" w:hAnsi="仿宋" w:eastAsia="仿宋" w:cs="仿宋"/>
                <w:b w:val="0"/>
                <w:bCs w:val="0"/>
                <w:color w:val="000000"/>
                <w:kern w:val="0"/>
                <w:sz w:val="28"/>
                <w:szCs w:val="28"/>
                <w:u w:val="singl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2335" w:type="dxa"/>
            <w:vAlign w:val="center"/>
          </w:tcPr>
          <w:p>
            <w:pPr>
              <w:keepNext w:val="0"/>
              <w:keepLines w:val="0"/>
              <w:widowControl/>
              <w:suppressLineNumbers w:val="0"/>
              <w:jc w:val="center"/>
              <w:rPr>
                <w:rFonts w:hint="eastAsia" w:ascii="黑体" w:hAnsi="黑体" w:eastAsia="黑体" w:cs="黑体"/>
                <w:b w:val="0"/>
                <w:bCs w:val="0"/>
                <w:color w:val="000000"/>
                <w:kern w:val="0"/>
                <w:sz w:val="28"/>
                <w:szCs w:val="28"/>
                <w:u w:val="single"/>
                <w:vertAlign w:val="baseline"/>
                <w:lang w:val="en-US" w:eastAsia="zh-CN" w:bidi="ar"/>
              </w:rPr>
            </w:pPr>
            <w:r>
              <w:rPr>
                <w:rFonts w:hint="eastAsia" w:ascii="黑体" w:hAnsi="黑体" w:eastAsia="黑体" w:cs="黑体"/>
                <w:b w:val="0"/>
                <w:bCs w:val="0"/>
                <w:color w:val="000000"/>
                <w:kern w:val="0"/>
                <w:sz w:val="28"/>
                <w:szCs w:val="28"/>
                <w:lang w:val="en-US" w:eastAsia="zh-CN" w:bidi="ar"/>
              </w:rPr>
              <w:t>被督办单位</w:t>
            </w:r>
          </w:p>
        </w:tc>
        <w:tc>
          <w:tcPr>
            <w:tcW w:w="6565" w:type="dxa"/>
            <w:vAlign w:val="center"/>
          </w:tcPr>
          <w:p>
            <w:pPr>
              <w:keepNext w:val="0"/>
              <w:keepLines w:val="0"/>
              <w:widowControl/>
              <w:suppressLineNumbers w:val="0"/>
              <w:jc w:val="center"/>
              <w:rPr>
                <w:rFonts w:hint="eastAsia" w:ascii="仿宋" w:hAnsi="仿宋" w:eastAsia="仿宋" w:cs="仿宋"/>
                <w:b w:val="0"/>
                <w:bCs w:val="0"/>
                <w:color w:val="000000"/>
                <w:kern w:val="0"/>
                <w:sz w:val="28"/>
                <w:szCs w:val="28"/>
                <w:u w:val="singl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2335" w:type="dxa"/>
            <w:vAlign w:val="center"/>
          </w:tcPr>
          <w:p>
            <w:pPr>
              <w:keepNext w:val="0"/>
              <w:keepLines w:val="0"/>
              <w:widowControl/>
              <w:suppressLineNumbers w:val="0"/>
              <w:jc w:val="center"/>
              <w:rPr>
                <w:rFonts w:hint="eastAsia" w:ascii="黑体" w:hAnsi="黑体" w:eastAsia="黑体" w:cs="黑体"/>
                <w:b w:val="0"/>
                <w:bCs w:val="0"/>
                <w:color w:val="000000"/>
                <w:kern w:val="0"/>
                <w:sz w:val="28"/>
                <w:szCs w:val="28"/>
                <w:u w:val="single"/>
                <w:vertAlign w:val="baseline"/>
                <w:lang w:val="en-US" w:eastAsia="zh-CN" w:bidi="ar"/>
              </w:rPr>
            </w:pPr>
            <w:r>
              <w:rPr>
                <w:rFonts w:hint="eastAsia" w:ascii="黑体" w:hAnsi="黑体" w:eastAsia="黑体" w:cs="黑体"/>
                <w:b w:val="0"/>
                <w:bCs w:val="0"/>
                <w:color w:val="000000"/>
                <w:kern w:val="0"/>
                <w:sz w:val="28"/>
                <w:szCs w:val="28"/>
                <w:lang w:val="en-US" w:eastAsia="zh-CN" w:bidi="ar"/>
              </w:rPr>
              <w:t>抽样单编号</w:t>
            </w:r>
          </w:p>
        </w:tc>
        <w:tc>
          <w:tcPr>
            <w:tcW w:w="6565" w:type="dxa"/>
            <w:vAlign w:val="center"/>
          </w:tcPr>
          <w:p>
            <w:pPr>
              <w:keepNext w:val="0"/>
              <w:keepLines w:val="0"/>
              <w:widowControl/>
              <w:suppressLineNumbers w:val="0"/>
              <w:jc w:val="center"/>
              <w:rPr>
                <w:rFonts w:hint="eastAsia" w:ascii="仿宋" w:hAnsi="仿宋" w:eastAsia="仿宋" w:cs="仿宋"/>
                <w:b w:val="0"/>
                <w:bCs w:val="0"/>
                <w:color w:val="000000"/>
                <w:kern w:val="0"/>
                <w:sz w:val="28"/>
                <w:szCs w:val="28"/>
                <w:u w:val="singl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2335" w:type="dxa"/>
            <w:vAlign w:val="center"/>
          </w:tcPr>
          <w:p>
            <w:pPr>
              <w:keepNext w:val="0"/>
              <w:keepLines w:val="0"/>
              <w:widowControl/>
              <w:suppressLineNumbers w:val="0"/>
              <w:jc w:val="center"/>
              <w:rPr>
                <w:rFonts w:hint="eastAsia" w:ascii="黑体" w:hAnsi="黑体" w:eastAsia="黑体" w:cs="黑体"/>
                <w:b w:val="0"/>
                <w:bCs w:val="0"/>
                <w:color w:val="000000"/>
                <w:kern w:val="0"/>
                <w:sz w:val="28"/>
                <w:szCs w:val="28"/>
                <w:u w:val="single"/>
                <w:vertAlign w:val="baseline"/>
                <w:lang w:val="en-US" w:eastAsia="zh-CN" w:bidi="ar"/>
              </w:rPr>
            </w:pPr>
            <w:r>
              <w:rPr>
                <w:rFonts w:hint="eastAsia" w:ascii="黑体" w:hAnsi="黑体" w:eastAsia="黑体" w:cs="黑体"/>
                <w:b w:val="0"/>
                <w:bCs w:val="0"/>
                <w:color w:val="000000"/>
                <w:kern w:val="0"/>
                <w:sz w:val="28"/>
                <w:szCs w:val="28"/>
                <w:lang w:val="en-US" w:eastAsia="zh-CN" w:bidi="ar"/>
              </w:rPr>
              <w:t>督办要求</w:t>
            </w:r>
          </w:p>
        </w:tc>
        <w:tc>
          <w:tcPr>
            <w:tcW w:w="6565" w:type="dxa"/>
            <w:vAlign w:val="center"/>
          </w:tcPr>
          <w:p>
            <w:pPr>
              <w:keepNext w:val="0"/>
              <w:keepLines w:val="0"/>
              <w:widowControl/>
              <w:suppressLineNumbers w:val="0"/>
              <w:jc w:val="center"/>
              <w:rPr>
                <w:rFonts w:hint="eastAsia" w:ascii="仿宋" w:hAnsi="仿宋" w:eastAsia="仿宋" w:cs="仿宋"/>
                <w:b w:val="0"/>
                <w:bCs w:val="0"/>
                <w:color w:val="000000"/>
                <w:kern w:val="0"/>
                <w:sz w:val="28"/>
                <w:szCs w:val="28"/>
                <w:u w:val="singl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2335" w:type="dxa"/>
            <w:vAlign w:val="center"/>
          </w:tcPr>
          <w:p>
            <w:pPr>
              <w:keepNext w:val="0"/>
              <w:keepLines w:val="0"/>
              <w:widowControl/>
              <w:suppressLineNumbers w:val="0"/>
              <w:jc w:val="center"/>
              <w:rPr>
                <w:rFonts w:hint="eastAsia" w:ascii="黑体" w:hAnsi="黑体" w:eastAsia="黑体" w:cs="黑体"/>
                <w:b w:val="0"/>
                <w:bCs w:val="0"/>
                <w:color w:val="000000"/>
                <w:kern w:val="0"/>
                <w:sz w:val="28"/>
                <w:szCs w:val="28"/>
                <w:u w:val="single"/>
                <w:vertAlign w:val="baseline"/>
                <w:lang w:val="en-US" w:eastAsia="zh-CN" w:bidi="ar"/>
              </w:rPr>
            </w:pPr>
            <w:r>
              <w:rPr>
                <w:rFonts w:hint="eastAsia" w:ascii="黑体" w:hAnsi="黑体" w:eastAsia="黑体" w:cs="黑体"/>
                <w:b w:val="0"/>
                <w:bCs w:val="0"/>
                <w:color w:val="000000"/>
                <w:kern w:val="0"/>
                <w:sz w:val="28"/>
                <w:szCs w:val="28"/>
                <w:lang w:val="en-US" w:eastAsia="zh-CN" w:bidi="ar"/>
              </w:rPr>
              <w:t>处室领导意见</w:t>
            </w:r>
          </w:p>
        </w:tc>
        <w:tc>
          <w:tcPr>
            <w:tcW w:w="6565" w:type="dxa"/>
            <w:vAlign w:val="center"/>
          </w:tcPr>
          <w:p>
            <w:pPr>
              <w:keepNext w:val="0"/>
              <w:keepLines w:val="0"/>
              <w:widowControl/>
              <w:suppressLineNumbers w:val="0"/>
              <w:jc w:val="center"/>
              <w:rPr>
                <w:rFonts w:hint="eastAsia" w:ascii="仿宋" w:hAnsi="仿宋" w:eastAsia="仿宋" w:cs="仿宋"/>
                <w:b w:val="0"/>
                <w:bCs w:val="0"/>
                <w:color w:val="000000"/>
                <w:kern w:val="0"/>
                <w:sz w:val="28"/>
                <w:szCs w:val="28"/>
                <w:u w:val="singl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2335" w:type="dxa"/>
            <w:vAlign w:val="center"/>
          </w:tcPr>
          <w:p>
            <w:pPr>
              <w:keepNext w:val="0"/>
              <w:keepLines w:val="0"/>
              <w:widowControl/>
              <w:suppressLineNumbers w:val="0"/>
              <w:jc w:val="center"/>
              <w:rPr>
                <w:rFonts w:hint="eastAsia" w:ascii="黑体" w:hAnsi="黑体" w:eastAsia="黑体" w:cs="黑体"/>
                <w:b w:val="0"/>
                <w:bCs w:val="0"/>
                <w:color w:val="000000"/>
                <w:kern w:val="0"/>
                <w:sz w:val="28"/>
                <w:szCs w:val="28"/>
                <w:u w:val="single"/>
                <w:vertAlign w:val="baseline"/>
                <w:lang w:val="en-US" w:eastAsia="zh-CN" w:bidi="ar"/>
              </w:rPr>
            </w:pPr>
            <w:r>
              <w:rPr>
                <w:rFonts w:hint="eastAsia" w:ascii="黑体" w:hAnsi="黑体" w:eastAsia="黑体" w:cs="黑体"/>
                <w:b w:val="0"/>
                <w:bCs w:val="0"/>
                <w:color w:val="000000"/>
                <w:kern w:val="0"/>
                <w:sz w:val="28"/>
                <w:szCs w:val="28"/>
                <w:lang w:val="en-US" w:eastAsia="zh-CN" w:bidi="ar"/>
              </w:rPr>
              <w:t>分管领导意见</w:t>
            </w:r>
          </w:p>
        </w:tc>
        <w:tc>
          <w:tcPr>
            <w:tcW w:w="6565" w:type="dxa"/>
            <w:vAlign w:val="center"/>
          </w:tcPr>
          <w:p>
            <w:pPr>
              <w:keepNext w:val="0"/>
              <w:keepLines w:val="0"/>
              <w:widowControl/>
              <w:suppressLineNumbers w:val="0"/>
              <w:jc w:val="center"/>
              <w:rPr>
                <w:rFonts w:hint="eastAsia" w:ascii="仿宋" w:hAnsi="仿宋" w:eastAsia="仿宋" w:cs="仿宋"/>
                <w:b w:val="0"/>
                <w:bCs w:val="0"/>
                <w:color w:val="000000"/>
                <w:kern w:val="0"/>
                <w:sz w:val="28"/>
                <w:szCs w:val="28"/>
                <w:u w:val="singl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2335" w:type="dxa"/>
            <w:vAlign w:val="center"/>
          </w:tcPr>
          <w:p>
            <w:pPr>
              <w:keepNext w:val="0"/>
              <w:keepLines w:val="0"/>
              <w:widowControl/>
              <w:suppressLineNumbers w:val="0"/>
              <w:jc w:val="center"/>
              <w:rPr>
                <w:rFonts w:hint="eastAsia" w:ascii="黑体" w:hAnsi="黑体" w:eastAsia="黑体" w:cs="黑体"/>
                <w:b w:val="0"/>
                <w:bCs w:val="0"/>
                <w:color w:val="000000"/>
                <w:kern w:val="0"/>
                <w:sz w:val="28"/>
                <w:szCs w:val="28"/>
                <w:u w:val="single"/>
                <w:vertAlign w:val="baseline"/>
                <w:lang w:val="en-US" w:eastAsia="zh-CN" w:bidi="ar"/>
              </w:rPr>
            </w:pPr>
            <w:r>
              <w:rPr>
                <w:rFonts w:hint="eastAsia" w:ascii="黑体" w:hAnsi="黑体" w:eastAsia="黑体" w:cs="黑体"/>
                <w:b w:val="0"/>
                <w:bCs w:val="0"/>
                <w:color w:val="000000"/>
                <w:kern w:val="0"/>
                <w:sz w:val="28"/>
                <w:szCs w:val="28"/>
                <w:lang w:val="en-US" w:eastAsia="zh-CN" w:bidi="ar"/>
              </w:rPr>
              <w:t>备注</w:t>
            </w:r>
          </w:p>
        </w:tc>
        <w:tc>
          <w:tcPr>
            <w:tcW w:w="6565" w:type="dxa"/>
            <w:vAlign w:val="center"/>
          </w:tcPr>
          <w:p>
            <w:pPr>
              <w:keepNext w:val="0"/>
              <w:keepLines w:val="0"/>
              <w:widowControl/>
              <w:suppressLineNumbers w:val="0"/>
              <w:jc w:val="center"/>
              <w:rPr>
                <w:rFonts w:hint="eastAsia" w:ascii="仿宋" w:hAnsi="仿宋" w:eastAsia="仿宋" w:cs="仿宋"/>
                <w:b w:val="0"/>
                <w:bCs w:val="0"/>
                <w:color w:val="000000"/>
                <w:kern w:val="0"/>
                <w:sz w:val="28"/>
                <w:szCs w:val="28"/>
                <w:u w:val="single"/>
                <w:vertAlign w:val="baseline"/>
                <w:lang w:val="en-US" w:eastAsia="zh-CN" w:bidi="ar"/>
              </w:rPr>
            </w:pPr>
          </w:p>
        </w:tc>
      </w:tr>
    </w:tbl>
    <w:p>
      <w:pPr>
        <w:keepNext w:val="0"/>
        <w:keepLines w:val="0"/>
        <w:widowControl/>
        <w:suppressLineNumbers w:val="0"/>
        <w:jc w:val="left"/>
        <w:rPr>
          <w:rFonts w:hint="eastAsia" w:ascii="仿宋" w:hAnsi="仿宋" w:eastAsia="仿宋" w:cs="仿宋"/>
          <w:b w:val="0"/>
          <w:bCs w:val="0"/>
          <w:color w:val="000000"/>
          <w:kern w:val="0"/>
          <w:sz w:val="28"/>
          <w:szCs w:val="28"/>
          <w:u w:val="singl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ascii="仿宋" w:hAnsi="仿宋" w:eastAsia="仿宋"/>
          <w:b w:val="0"/>
          <w:bCs w:val="0"/>
        </w:rPr>
      </w:pPr>
      <w:r>
        <w:rPr>
          <w:rFonts w:ascii="仿宋" w:hAnsi="仿宋" w:eastAsia="仿宋"/>
          <w:b w:val="0"/>
          <w:bCs w:val="0"/>
        </w:rPr>
        <w:br w:type="page"/>
      </w: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jc w:val="left"/>
        <w:rPr>
          <w:rFonts w:ascii="仿宋" w:hAnsi="仿宋" w:eastAsia="仿宋"/>
          <w:b w:val="0"/>
          <w:bCs w:val="0"/>
        </w:rPr>
      </w:pPr>
    </w:p>
    <w:p>
      <w:pPr>
        <w:spacing w:line="580" w:lineRule="exact"/>
        <w:ind w:firstLine="632" w:firstLineChars="200"/>
        <w:jc w:val="right"/>
        <w:rPr>
          <w:rFonts w:ascii="仿宋" w:hAnsi="仿宋" w:eastAsia="仿宋"/>
          <w:b w:val="0"/>
          <w:bCs w:val="0"/>
        </w:rPr>
      </w:pPr>
    </w:p>
    <w:p>
      <w:pPr>
        <w:spacing w:line="520" w:lineRule="exact"/>
        <w:ind w:firstLine="316" w:firstLineChars="100"/>
        <w:jc w:val="left"/>
        <w:rPr>
          <w:rFonts w:hint="eastAsia" w:ascii="仿宋" w:hAnsi="仿宋" w:eastAsia="仿宋"/>
          <w:b w:val="0"/>
          <w:bCs w:val="0"/>
          <w:sz w:val="28"/>
          <w:szCs w:val="28"/>
          <w:lang w:eastAsia="zh-CN"/>
        </w:rPr>
      </w:pPr>
      <w:r>
        <w:rPr>
          <w:rFonts w:ascii="仿宋" w:hAnsi="仿宋" w:eastAsia="仿宋"/>
          <w:b w:val="0"/>
          <w:bCs w:val="0"/>
        </w:rPr>
        <w:pict>
          <v:line id="_x0000_s2107" o:spid="_x0000_s2107" o:spt="20" style="position:absolute;left:0pt;margin-left:2.4pt;margin-top:2.4pt;height:0pt;width:442.4pt;z-index:1024;mso-width-relative:page;mso-height-relative:page;" coordsize="21600,21600">
            <v:path arrowok="t"/>
            <v:fill focussize="0,0"/>
            <v:stroke/>
            <v:imagedata o:title=""/>
            <o:lock v:ext="edit"/>
          </v:line>
        </w:pict>
      </w:r>
      <w:r>
        <w:rPr>
          <w:rFonts w:hint="eastAsia" w:ascii="仿宋" w:hAnsi="仿宋" w:eastAsia="仿宋"/>
          <w:b w:val="0"/>
          <w:bCs w:val="0"/>
          <w:sz w:val="28"/>
          <w:szCs w:val="28"/>
          <w:lang w:eastAsia="zh-CN"/>
        </w:rPr>
        <w:t>抄送：浙江省市场监管局。</w:t>
      </w:r>
    </w:p>
    <w:p>
      <w:pPr>
        <w:keepNext w:val="0"/>
        <w:keepLines w:val="0"/>
        <w:pageBreakBefore w:val="0"/>
        <w:widowControl w:val="0"/>
        <w:kinsoku/>
        <w:wordWrap/>
        <w:overflowPunct/>
        <w:topLinePunct w:val="0"/>
        <w:autoSpaceDE/>
        <w:autoSpaceDN/>
        <w:bidi w:val="0"/>
        <w:adjustRightInd/>
        <w:snapToGrid/>
        <w:spacing w:line="580" w:lineRule="exact"/>
        <w:ind w:left="316" w:leftChars="100" w:right="316" w:rightChars="100" w:firstLine="0" w:firstLineChars="0"/>
        <w:jc w:val="both"/>
        <w:textAlignment w:val="auto"/>
        <w:outlineLvl w:val="9"/>
        <w:rPr>
          <w:rFonts w:ascii="仿宋" w:hAnsi="仿宋" w:eastAsia="仿宋"/>
          <w:b w:val="0"/>
          <w:bCs w:val="0"/>
          <w:sz w:val="28"/>
          <w:szCs w:val="28"/>
        </w:rPr>
      </w:pPr>
      <w:r>
        <w:rPr>
          <w:rFonts w:ascii="仿宋" w:hAnsi="仿宋" w:eastAsia="仿宋"/>
          <w:b w:val="0"/>
          <w:bCs w:val="0"/>
        </w:rPr>
        <w:pict>
          <v:line id="_x0000_s2108" o:spid="_x0000_s2108" o:spt="20" style="position:absolute;left:0pt;margin-left:0.6pt;margin-top:32.55pt;height:0pt;width:442.4pt;z-index:1024;mso-width-relative:page;mso-height-relative:page;" coordsize="21600,21600">
            <v:path arrowok="t"/>
            <v:fill focussize="0,0"/>
            <v:stroke/>
            <v:imagedata o:title=""/>
            <o:lock v:ext="edit"/>
          </v:line>
        </w:pict>
      </w:r>
      <w:r>
        <w:rPr>
          <w:rFonts w:ascii="仿宋" w:hAnsi="仿宋" w:eastAsia="仿宋"/>
          <w:b w:val="0"/>
          <w:bCs w:val="0"/>
        </w:rPr>
        <w:pict>
          <v:line id="_x0000_s2109" o:spid="_x0000_s2109" o:spt="20" style="position:absolute;left:0pt;margin-left:0pt;margin-top:4.4pt;height:0pt;width:442.4pt;z-index:1024;mso-width-relative:page;mso-height-relative:page;" coordsize="21600,21600">
            <v:path arrowok="t"/>
            <v:fill focussize="0,0"/>
            <v:stroke/>
            <v:imagedata o:title=""/>
            <o:lock v:ext="edit"/>
          </v:line>
        </w:pict>
      </w:r>
      <w:r>
        <w:rPr>
          <w:rFonts w:hint="eastAsia" w:ascii="仿宋" w:hAnsi="仿宋" w:eastAsia="仿宋" w:cs="仿宋_GB2312"/>
          <w:b w:val="0"/>
          <w:bCs w:val="0"/>
          <w:sz w:val="28"/>
          <w:szCs w:val="28"/>
        </w:rPr>
        <w:t>绍兴市市场监督管理局办公室</w:t>
      </w:r>
      <w:r>
        <w:rPr>
          <w:rFonts w:ascii="仿宋" w:hAnsi="仿宋" w:eastAsia="仿宋" w:cs="仿宋_GB2312"/>
          <w:b w:val="0"/>
          <w:bCs w:val="0"/>
          <w:sz w:val="28"/>
          <w:szCs w:val="28"/>
        </w:rPr>
        <w:t xml:space="preserve">       </w:t>
      </w:r>
      <w:r>
        <w:rPr>
          <w:rFonts w:hint="eastAsia" w:ascii="仿宋" w:hAnsi="仿宋" w:eastAsia="仿宋" w:cs="仿宋_GB2312"/>
          <w:b w:val="0"/>
          <w:bCs w:val="0"/>
          <w:sz w:val="28"/>
          <w:szCs w:val="28"/>
          <w:lang w:val="en-US" w:eastAsia="zh-CN"/>
        </w:rPr>
        <w:t xml:space="preserve">  </w:t>
      </w:r>
      <w:r>
        <w:rPr>
          <w:rFonts w:ascii="仿宋" w:hAnsi="仿宋" w:eastAsia="仿宋" w:cs="仿宋_GB2312"/>
          <w:b w:val="0"/>
          <w:bCs w:val="0"/>
          <w:sz w:val="28"/>
          <w:szCs w:val="28"/>
        </w:rPr>
        <w:t xml:space="preserve">      </w:t>
      </w:r>
      <w:r>
        <w:rPr>
          <w:rFonts w:hint="eastAsia" w:ascii="仿宋" w:hAnsi="仿宋" w:eastAsia="仿宋" w:cs="仿宋_GB2312"/>
          <w:b w:val="0"/>
          <w:bCs w:val="0"/>
          <w:sz w:val="28"/>
          <w:szCs w:val="28"/>
          <w:lang w:eastAsia="zh-CN"/>
        </w:rPr>
        <w:t>2020</w:t>
      </w:r>
      <w:r>
        <w:rPr>
          <w:rFonts w:hint="eastAsia" w:ascii="仿宋" w:hAnsi="仿宋" w:eastAsia="仿宋" w:cs="仿宋_GB2312"/>
          <w:b w:val="0"/>
          <w:bCs w:val="0"/>
          <w:sz w:val="28"/>
          <w:szCs w:val="28"/>
        </w:rPr>
        <w:t>年</w:t>
      </w:r>
      <w:r>
        <w:rPr>
          <w:rFonts w:hint="eastAsia" w:ascii="仿宋" w:hAnsi="仿宋" w:eastAsia="仿宋" w:cs="仿宋_GB2312"/>
          <w:b w:val="0"/>
          <w:bCs w:val="0"/>
          <w:sz w:val="28"/>
          <w:szCs w:val="28"/>
          <w:lang w:val="en-US" w:eastAsia="zh-CN"/>
        </w:rPr>
        <w:t>5</w:t>
      </w:r>
      <w:r>
        <w:rPr>
          <w:rFonts w:hint="eastAsia" w:ascii="仿宋" w:hAnsi="仿宋" w:eastAsia="仿宋" w:cs="仿宋_GB2312"/>
          <w:b w:val="0"/>
          <w:bCs w:val="0"/>
          <w:sz w:val="28"/>
          <w:szCs w:val="28"/>
        </w:rPr>
        <w:t>月</w:t>
      </w:r>
      <w:r>
        <w:rPr>
          <w:rFonts w:hint="eastAsia" w:ascii="仿宋" w:hAnsi="仿宋" w:eastAsia="仿宋" w:cs="仿宋_GB2312"/>
          <w:b w:val="0"/>
          <w:bCs w:val="0"/>
          <w:sz w:val="28"/>
          <w:szCs w:val="28"/>
          <w:lang w:val="en-US" w:eastAsia="zh-CN"/>
        </w:rPr>
        <w:t>14</w:t>
      </w:r>
      <w:r>
        <w:rPr>
          <w:rFonts w:hint="eastAsia" w:ascii="仿宋" w:hAnsi="仿宋" w:eastAsia="仿宋" w:cs="仿宋_GB2312"/>
          <w:b w:val="0"/>
          <w:bCs w:val="0"/>
          <w:sz w:val="28"/>
          <w:szCs w:val="28"/>
        </w:rPr>
        <w:t>日印发</w:t>
      </w:r>
    </w:p>
    <w:sectPr>
      <w:pgSz w:w="11907" w:h="16840"/>
      <w:pgMar w:top="2098" w:right="1474" w:bottom="1984" w:left="1587" w:header="851" w:footer="1531" w:gutter="0"/>
      <w:pgBorders>
        <w:top w:val="none" w:sz="0" w:space="0"/>
        <w:left w:val="none" w:sz="0" w:space="0"/>
        <w:bottom w:val="none" w:sz="0" w:space="0"/>
        <w:right w:val="none" w:sz="0" w:space="0"/>
      </w:pgBorders>
      <w:cols w:space="0" w:num="1"/>
      <w:rtlGutter w:val="0"/>
      <w:docGrid w:type="linesAndChars" w:linePitch="58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FangSong_GB2312">
    <w:altName w:val="仿宋_GB2312"/>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619" w:wrap="around" w:vAnchor="text" w:hAnchor="margin" w:xAlign="outside" w:y="3"/>
      <w:jc w:val="center"/>
      <w:rPr>
        <w:rStyle w:val="12"/>
        <w:sz w:val="28"/>
        <w:szCs w:val="28"/>
      </w:rPr>
    </w:pPr>
    <w:r>
      <w:rPr>
        <w:rStyle w:val="12"/>
        <w:sz w:val="28"/>
        <w:szCs w:val="28"/>
      </w:rPr>
      <w:t>—</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w:t>
    </w:r>
    <w:r>
      <w:rPr>
        <w:rStyle w:val="12"/>
        <w:sz w:val="28"/>
        <w:szCs w:val="28"/>
      </w:rPr>
      <w:fldChar w:fldCharType="end"/>
    </w:r>
    <w:r>
      <w:rPr>
        <w:rStyle w:val="12"/>
        <w:sz w:val="28"/>
        <w:szCs w:val="28"/>
      </w:rPr>
      <w:t>—</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HorizontalSpacing w:val="158"/>
  <w:drawingGridVerticalSpacing w:val="29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B1D"/>
    <w:rsid w:val="00001849"/>
    <w:rsid w:val="00001B20"/>
    <w:rsid w:val="000024C3"/>
    <w:rsid w:val="0000668C"/>
    <w:rsid w:val="000149C7"/>
    <w:rsid w:val="00015690"/>
    <w:rsid w:val="00017A5A"/>
    <w:rsid w:val="00020C45"/>
    <w:rsid w:val="00022532"/>
    <w:rsid w:val="00024A1D"/>
    <w:rsid w:val="00030665"/>
    <w:rsid w:val="00035622"/>
    <w:rsid w:val="00036E56"/>
    <w:rsid w:val="000408CA"/>
    <w:rsid w:val="00053547"/>
    <w:rsid w:val="0005438C"/>
    <w:rsid w:val="00056536"/>
    <w:rsid w:val="00056CB2"/>
    <w:rsid w:val="00057C39"/>
    <w:rsid w:val="000661EB"/>
    <w:rsid w:val="00067A25"/>
    <w:rsid w:val="0007362B"/>
    <w:rsid w:val="00075079"/>
    <w:rsid w:val="0008317E"/>
    <w:rsid w:val="00083904"/>
    <w:rsid w:val="000855D8"/>
    <w:rsid w:val="00085BBE"/>
    <w:rsid w:val="00087D27"/>
    <w:rsid w:val="00092159"/>
    <w:rsid w:val="0009321A"/>
    <w:rsid w:val="00093FB9"/>
    <w:rsid w:val="00096269"/>
    <w:rsid w:val="000A1A4C"/>
    <w:rsid w:val="000A3379"/>
    <w:rsid w:val="000A64A0"/>
    <w:rsid w:val="000C21A4"/>
    <w:rsid w:val="000D0A55"/>
    <w:rsid w:val="000D18EE"/>
    <w:rsid w:val="000D2389"/>
    <w:rsid w:val="000D2B4F"/>
    <w:rsid w:val="000D4018"/>
    <w:rsid w:val="000D7B69"/>
    <w:rsid w:val="000E3854"/>
    <w:rsid w:val="000E3B66"/>
    <w:rsid w:val="000F733D"/>
    <w:rsid w:val="00103127"/>
    <w:rsid w:val="00105EA9"/>
    <w:rsid w:val="00110A4B"/>
    <w:rsid w:val="001114C5"/>
    <w:rsid w:val="00115E51"/>
    <w:rsid w:val="00122495"/>
    <w:rsid w:val="001229E2"/>
    <w:rsid w:val="001251EF"/>
    <w:rsid w:val="0013227A"/>
    <w:rsid w:val="0013284E"/>
    <w:rsid w:val="00133BB4"/>
    <w:rsid w:val="00134172"/>
    <w:rsid w:val="00134914"/>
    <w:rsid w:val="001426B3"/>
    <w:rsid w:val="00145AD9"/>
    <w:rsid w:val="00152A79"/>
    <w:rsid w:val="001634E5"/>
    <w:rsid w:val="00163F62"/>
    <w:rsid w:val="00166713"/>
    <w:rsid w:val="00170144"/>
    <w:rsid w:val="001711EB"/>
    <w:rsid w:val="0017348F"/>
    <w:rsid w:val="00177C61"/>
    <w:rsid w:val="001935F5"/>
    <w:rsid w:val="00194305"/>
    <w:rsid w:val="001957BD"/>
    <w:rsid w:val="00196A00"/>
    <w:rsid w:val="001A0D14"/>
    <w:rsid w:val="001A1A90"/>
    <w:rsid w:val="001A2921"/>
    <w:rsid w:val="001A369A"/>
    <w:rsid w:val="001A45D1"/>
    <w:rsid w:val="001A65E8"/>
    <w:rsid w:val="001A7808"/>
    <w:rsid w:val="001C1031"/>
    <w:rsid w:val="001C54FB"/>
    <w:rsid w:val="001D154D"/>
    <w:rsid w:val="001E0840"/>
    <w:rsid w:val="001E100B"/>
    <w:rsid w:val="001E18E0"/>
    <w:rsid w:val="001E4239"/>
    <w:rsid w:val="001E6CAD"/>
    <w:rsid w:val="001F03B1"/>
    <w:rsid w:val="001F07AD"/>
    <w:rsid w:val="001F0C83"/>
    <w:rsid w:val="001F11DB"/>
    <w:rsid w:val="001F1862"/>
    <w:rsid w:val="001F6037"/>
    <w:rsid w:val="00201174"/>
    <w:rsid w:val="00201AF4"/>
    <w:rsid w:val="002056D2"/>
    <w:rsid w:val="0021126A"/>
    <w:rsid w:val="00212958"/>
    <w:rsid w:val="00215DFF"/>
    <w:rsid w:val="0022229F"/>
    <w:rsid w:val="00224DC7"/>
    <w:rsid w:val="00227267"/>
    <w:rsid w:val="00227706"/>
    <w:rsid w:val="0023176A"/>
    <w:rsid w:val="00233A25"/>
    <w:rsid w:val="002442D5"/>
    <w:rsid w:val="00244F86"/>
    <w:rsid w:val="0024787D"/>
    <w:rsid w:val="00250791"/>
    <w:rsid w:val="002603B1"/>
    <w:rsid w:val="00261827"/>
    <w:rsid w:val="00263780"/>
    <w:rsid w:val="00270C35"/>
    <w:rsid w:val="00270DF3"/>
    <w:rsid w:val="00271350"/>
    <w:rsid w:val="002713DB"/>
    <w:rsid w:val="002744B1"/>
    <w:rsid w:val="002823E3"/>
    <w:rsid w:val="00282441"/>
    <w:rsid w:val="00285E2B"/>
    <w:rsid w:val="002904A6"/>
    <w:rsid w:val="00293D08"/>
    <w:rsid w:val="002A205E"/>
    <w:rsid w:val="002A655E"/>
    <w:rsid w:val="002C08DE"/>
    <w:rsid w:val="002C250F"/>
    <w:rsid w:val="002C30C6"/>
    <w:rsid w:val="002C38D7"/>
    <w:rsid w:val="002C468E"/>
    <w:rsid w:val="002C4D62"/>
    <w:rsid w:val="002D297F"/>
    <w:rsid w:val="002D3FF5"/>
    <w:rsid w:val="002F0D14"/>
    <w:rsid w:val="002F5D05"/>
    <w:rsid w:val="002F7702"/>
    <w:rsid w:val="002F7D9D"/>
    <w:rsid w:val="0030231C"/>
    <w:rsid w:val="003044E3"/>
    <w:rsid w:val="00307AF9"/>
    <w:rsid w:val="00312345"/>
    <w:rsid w:val="00313265"/>
    <w:rsid w:val="003149BA"/>
    <w:rsid w:val="0031791B"/>
    <w:rsid w:val="00320FC7"/>
    <w:rsid w:val="003217F7"/>
    <w:rsid w:val="00322834"/>
    <w:rsid w:val="00322D98"/>
    <w:rsid w:val="00323A5E"/>
    <w:rsid w:val="00326437"/>
    <w:rsid w:val="00331566"/>
    <w:rsid w:val="00333FA0"/>
    <w:rsid w:val="00341911"/>
    <w:rsid w:val="003445EC"/>
    <w:rsid w:val="00344A1A"/>
    <w:rsid w:val="00344B43"/>
    <w:rsid w:val="00346E72"/>
    <w:rsid w:val="00351934"/>
    <w:rsid w:val="00356DC0"/>
    <w:rsid w:val="00360A61"/>
    <w:rsid w:val="00360B97"/>
    <w:rsid w:val="00361374"/>
    <w:rsid w:val="00371E86"/>
    <w:rsid w:val="00380FC3"/>
    <w:rsid w:val="00384ED1"/>
    <w:rsid w:val="00386153"/>
    <w:rsid w:val="00386EC4"/>
    <w:rsid w:val="003879BE"/>
    <w:rsid w:val="00391F69"/>
    <w:rsid w:val="00392C46"/>
    <w:rsid w:val="003950B1"/>
    <w:rsid w:val="00395342"/>
    <w:rsid w:val="003954DB"/>
    <w:rsid w:val="003A4C7F"/>
    <w:rsid w:val="003A5468"/>
    <w:rsid w:val="003B5BAB"/>
    <w:rsid w:val="003B7BFB"/>
    <w:rsid w:val="003C16FA"/>
    <w:rsid w:val="003C28D3"/>
    <w:rsid w:val="003C4709"/>
    <w:rsid w:val="003C62D8"/>
    <w:rsid w:val="003C79CC"/>
    <w:rsid w:val="003D3171"/>
    <w:rsid w:val="003D37F5"/>
    <w:rsid w:val="003D4D96"/>
    <w:rsid w:val="003D5D49"/>
    <w:rsid w:val="003E13D7"/>
    <w:rsid w:val="003E2499"/>
    <w:rsid w:val="003E28D5"/>
    <w:rsid w:val="003E540E"/>
    <w:rsid w:val="003E67B5"/>
    <w:rsid w:val="003F1F18"/>
    <w:rsid w:val="003F2FBF"/>
    <w:rsid w:val="003F388F"/>
    <w:rsid w:val="003F4235"/>
    <w:rsid w:val="003F7886"/>
    <w:rsid w:val="003F7BC6"/>
    <w:rsid w:val="00400218"/>
    <w:rsid w:val="004026EE"/>
    <w:rsid w:val="00402C61"/>
    <w:rsid w:val="00405D83"/>
    <w:rsid w:val="004074D1"/>
    <w:rsid w:val="004122C8"/>
    <w:rsid w:val="00412B37"/>
    <w:rsid w:val="0041461B"/>
    <w:rsid w:val="0042082A"/>
    <w:rsid w:val="004264BF"/>
    <w:rsid w:val="004300BE"/>
    <w:rsid w:val="0043277D"/>
    <w:rsid w:val="00437B47"/>
    <w:rsid w:val="00445FC2"/>
    <w:rsid w:val="00455942"/>
    <w:rsid w:val="00462048"/>
    <w:rsid w:val="00462194"/>
    <w:rsid w:val="00462DE0"/>
    <w:rsid w:val="004678F7"/>
    <w:rsid w:val="0047098F"/>
    <w:rsid w:val="00472F9C"/>
    <w:rsid w:val="00481C94"/>
    <w:rsid w:val="00481D22"/>
    <w:rsid w:val="004836CF"/>
    <w:rsid w:val="00486C8F"/>
    <w:rsid w:val="00487ABF"/>
    <w:rsid w:val="00493BA4"/>
    <w:rsid w:val="004A1964"/>
    <w:rsid w:val="004A53A6"/>
    <w:rsid w:val="004A62E5"/>
    <w:rsid w:val="004B16DE"/>
    <w:rsid w:val="004B6A3D"/>
    <w:rsid w:val="004B7EA3"/>
    <w:rsid w:val="004C2466"/>
    <w:rsid w:val="004D1AD9"/>
    <w:rsid w:val="004D2D4B"/>
    <w:rsid w:val="004D3DCA"/>
    <w:rsid w:val="004D62E4"/>
    <w:rsid w:val="004E0805"/>
    <w:rsid w:val="004E41C4"/>
    <w:rsid w:val="004E6B38"/>
    <w:rsid w:val="004F01A8"/>
    <w:rsid w:val="004F0F9A"/>
    <w:rsid w:val="004F7741"/>
    <w:rsid w:val="004F7A00"/>
    <w:rsid w:val="00502493"/>
    <w:rsid w:val="005064CC"/>
    <w:rsid w:val="005100CF"/>
    <w:rsid w:val="00510493"/>
    <w:rsid w:val="00510527"/>
    <w:rsid w:val="00520698"/>
    <w:rsid w:val="00524E0C"/>
    <w:rsid w:val="00526160"/>
    <w:rsid w:val="00532B37"/>
    <w:rsid w:val="00533058"/>
    <w:rsid w:val="0053395D"/>
    <w:rsid w:val="00534B30"/>
    <w:rsid w:val="0053630F"/>
    <w:rsid w:val="00542D87"/>
    <w:rsid w:val="00544B73"/>
    <w:rsid w:val="0054717A"/>
    <w:rsid w:val="005548B7"/>
    <w:rsid w:val="00557F7D"/>
    <w:rsid w:val="00562D58"/>
    <w:rsid w:val="005676DC"/>
    <w:rsid w:val="005706EA"/>
    <w:rsid w:val="00570D8B"/>
    <w:rsid w:val="00572594"/>
    <w:rsid w:val="00572E03"/>
    <w:rsid w:val="0057405E"/>
    <w:rsid w:val="00575ED5"/>
    <w:rsid w:val="005821C2"/>
    <w:rsid w:val="00582669"/>
    <w:rsid w:val="00587471"/>
    <w:rsid w:val="00590211"/>
    <w:rsid w:val="005A3609"/>
    <w:rsid w:val="005B1667"/>
    <w:rsid w:val="005B6D7B"/>
    <w:rsid w:val="005C08E3"/>
    <w:rsid w:val="005C22BF"/>
    <w:rsid w:val="005C3495"/>
    <w:rsid w:val="005C4268"/>
    <w:rsid w:val="005C6D2A"/>
    <w:rsid w:val="005D736D"/>
    <w:rsid w:val="005E19DD"/>
    <w:rsid w:val="005E7AE5"/>
    <w:rsid w:val="005F2B36"/>
    <w:rsid w:val="006144C9"/>
    <w:rsid w:val="00616D7C"/>
    <w:rsid w:val="00646794"/>
    <w:rsid w:val="00646854"/>
    <w:rsid w:val="00647266"/>
    <w:rsid w:val="006517AD"/>
    <w:rsid w:val="006577A6"/>
    <w:rsid w:val="006620C0"/>
    <w:rsid w:val="006666A9"/>
    <w:rsid w:val="006716F3"/>
    <w:rsid w:val="00671B59"/>
    <w:rsid w:val="00673B0A"/>
    <w:rsid w:val="006754C3"/>
    <w:rsid w:val="00683A63"/>
    <w:rsid w:val="00693984"/>
    <w:rsid w:val="006A3533"/>
    <w:rsid w:val="006A65FC"/>
    <w:rsid w:val="006B4F01"/>
    <w:rsid w:val="006B7995"/>
    <w:rsid w:val="006C0F52"/>
    <w:rsid w:val="006C5688"/>
    <w:rsid w:val="006D07DE"/>
    <w:rsid w:val="006D3A65"/>
    <w:rsid w:val="006D66FF"/>
    <w:rsid w:val="006D7030"/>
    <w:rsid w:val="006E35FC"/>
    <w:rsid w:val="006E383E"/>
    <w:rsid w:val="006F25F4"/>
    <w:rsid w:val="006F438D"/>
    <w:rsid w:val="006F482E"/>
    <w:rsid w:val="006F63C3"/>
    <w:rsid w:val="007006DE"/>
    <w:rsid w:val="00702F5F"/>
    <w:rsid w:val="00703F40"/>
    <w:rsid w:val="00706059"/>
    <w:rsid w:val="007072FB"/>
    <w:rsid w:val="00715EBC"/>
    <w:rsid w:val="0073088E"/>
    <w:rsid w:val="00731742"/>
    <w:rsid w:val="00732ACB"/>
    <w:rsid w:val="0073486B"/>
    <w:rsid w:val="00740CB9"/>
    <w:rsid w:val="0074140C"/>
    <w:rsid w:val="007421E0"/>
    <w:rsid w:val="00744B67"/>
    <w:rsid w:val="00744BF7"/>
    <w:rsid w:val="00747DCD"/>
    <w:rsid w:val="00751239"/>
    <w:rsid w:val="0075578B"/>
    <w:rsid w:val="00756514"/>
    <w:rsid w:val="007621B7"/>
    <w:rsid w:val="00762942"/>
    <w:rsid w:val="00773F9A"/>
    <w:rsid w:val="00776E4A"/>
    <w:rsid w:val="007813D9"/>
    <w:rsid w:val="0078267C"/>
    <w:rsid w:val="00782767"/>
    <w:rsid w:val="00783622"/>
    <w:rsid w:val="00783FD2"/>
    <w:rsid w:val="00792883"/>
    <w:rsid w:val="007A1686"/>
    <w:rsid w:val="007A24B1"/>
    <w:rsid w:val="007A2F53"/>
    <w:rsid w:val="007A3D4F"/>
    <w:rsid w:val="007A7F8A"/>
    <w:rsid w:val="007B188F"/>
    <w:rsid w:val="007B21E9"/>
    <w:rsid w:val="007B31CA"/>
    <w:rsid w:val="007B4391"/>
    <w:rsid w:val="007C456F"/>
    <w:rsid w:val="007C471E"/>
    <w:rsid w:val="007C590D"/>
    <w:rsid w:val="007C5B22"/>
    <w:rsid w:val="007C5C7B"/>
    <w:rsid w:val="007C673D"/>
    <w:rsid w:val="007D3C67"/>
    <w:rsid w:val="007D4457"/>
    <w:rsid w:val="007E0973"/>
    <w:rsid w:val="007E0AD5"/>
    <w:rsid w:val="007E39F4"/>
    <w:rsid w:val="007E66D6"/>
    <w:rsid w:val="007E7DA9"/>
    <w:rsid w:val="007F0018"/>
    <w:rsid w:val="007F13A4"/>
    <w:rsid w:val="007F2361"/>
    <w:rsid w:val="007F2DEA"/>
    <w:rsid w:val="007F5512"/>
    <w:rsid w:val="007F5594"/>
    <w:rsid w:val="007F57B9"/>
    <w:rsid w:val="007F5D1B"/>
    <w:rsid w:val="007F5D2C"/>
    <w:rsid w:val="007F7317"/>
    <w:rsid w:val="007F7A38"/>
    <w:rsid w:val="00800C39"/>
    <w:rsid w:val="0080119C"/>
    <w:rsid w:val="0080618F"/>
    <w:rsid w:val="00812EAE"/>
    <w:rsid w:val="00816131"/>
    <w:rsid w:val="00822F51"/>
    <w:rsid w:val="0082354C"/>
    <w:rsid w:val="008248A9"/>
    <w:rsid w:val="00827C6A"/>
    <w:rsid w:val="00830926"/>
    <w:rsid w:val="00836C08"/>
    <w:rsid w:val="00843577"/>
    <w:rsid w:val="0084363B"/>
    <w:rsid w:val="00843E45"/>
    <w:rsid w:val="008450A7"/>
    <w:rsid w:val="008452B0"/>
    <w:rsid w:val="00852D31"/>
    <w:rsid w:val="008533E4"/>
    <w:rsid w:val="008562BF"/>
    <w:rsid w:val="008569CD"/>
    <w:rsid w:val="00860661"/>
    <w:rsid w:val="00860B2C"/>
    <w:rsid w:val="0086230C"/>
    <w:rsid w:val="008641A3"/>
    <w:rsid w:val="00865517"/>
    <w:rsid w:val="00865C12"/>
    <w:rsid w:val="00870833"/>
    <w:rsid w:val="008709D6"/>
    <w:rsid w:val="0087229A"/>
    <w:rsid w:val="00875163"/>
    <w:rsid w:val="00876D98"/>
    <w:rsid w:val="008803B6"/>
    <w:rsid w:val="00886908"/>
    <w:rsid w:val="00894BBE"/>
    <w:rsid w:val="0089577C"/>
    <w:rsid w:val="008A3FF7"/>
    <w:rsid w:val="008B08D0"/>
    <w:rsid w:val="008B351E"/>
    <w:rsid w:val="008B383A"/>
    <w:rsid w:val="008B4E97"/>
    <w:rsid w:val="008B76B2"/>
    <w:rsid w:val="008C0E3B"/>
    <w:rsid w:val="008C2647"/>
    <w:rsid w:val="008C5056"/>
    <w:rsid w:val="008C5B46"/>
    <w:rsid w:val="008E73A8"/>
    <w:rsid w:val="008F4441"/>
    <w:rsid w:val="008F7A60"/>
    <w:rsid w:val="008F7AA6"/>
    <w:rsid w:val="00922BFA"/>
    <w:rsid w:val="00924963"/>
    <w:rsid w:val="009277C5"/>
    <w:rsid w:val="009317D6"/>
    <w:rsid w:val="00932236"/>
    <w:rsid w:val="0094206A"/>
    <w:rsid w:val="00942827"/>
    <w:rsid w:val="009468EE"/>
    <w:rsid w:val="00957A11"/>
    <w:rsid w:val="00957F96"/>
    <w:rsid w:val="009602DF"/>
    <w:rsid w:val="00967BB5"/>
    <w:rsid w:val="009711C9"/>
    <w:rsid w:val="0097439F"/>
    <w:rsid w:val="00976FBD"/>
    <w:rsid w:val="00982C16"/>
    <w:rsid w:val="00983413"/>
    <w:rsid w:val="00983AB8"/>
    <w:rsid w:val="00992B83"/>
    <w:rsid w:val="009A73A8"/>
    <w:rsid w:val="009B282C"/>
    <w:rsid w:val="009B3655"/>
    <w:rsid w:val="009B5EBB"/>
    <w:rsid w:val="009C03DF"/>
    <w:rsid w:val="009C3D73"/>
    <w:rsid w:val="009C3FBA"/>
    <w:rsid w:val="009C58AE"/>
    <w:rsid w:val="009D35CF"/>
    <w:rsid w:val="009D4A49"/>
    <w:rsid w:val="009D658C"/>
    <w:rsid w:val="009E1017"/>
    <w:rsid w:val="009E303F"/>
    <w:rsid w:val="009E43C8"/>
    <w:rsid w:val="009E5A9A"/>
    <w:rsid w:val="009E7558"/>
    <w:rsid w:val="009F6B6D"/>
    <w:rsid w:val="009F776B"/>
    <w:rsid w:val="00A01436"/>
    <w:rsid w:val="00A05844"/>
    <w:rsid w:val="00A118D6"/>
    <w:rsid w:val="00A17BAB"/>
    <w:rsid w:val="00A250E9"/>
    <w:rsid w:val="00A27247"/>
    <w:rsid w:val="00A31F9D"/>
    <w:rsid w:val="00A32A8A"/>
    <w:rsid w:val="00A332B0"/>
    <w:rsid w:val="00A3402F"/>
    <w:rsid w:val="00A43BAC"/>
    <w:rsid w:val="00A44294"/>
    <w:rsid w:val="00A44429"/>
    <w:rsid w:val="00A47120"/>
    <w:rsid w:val="00A472CD"/>
    <w:rsid w:val="00A53169"/>
    <w:rsid w:val="00A56A07"/>
    <w:rsid w:val="00A570EC"/>
    <w:rsid w:val="00A57BEA"/>
    <w:rsid w:val="00A613D7"/>
    <w:rsid w:val="00A67FA1"/>
    <w:rsid w:val="00A72F88"/>
    <w:rsid w:val="00A74E63"/>
    <w:rsid w:val="00A76E6C"/>
    <w:rsid w:val="00A93DB8"/>
    <w:rsid w:val="00A95740"/>
    <w:rsid w:val="00AA17FA"/>
    <w:rsid w:val="00AC02A3"/>
    <w:rsid w:val="00AC0399"/>
    <w:rsid w:val="00AC3A59"/>
    <w:rsid w:val="00AC4918"/>
    <w:rsid w:val="00AC65CE"/>
    <w:rsid w:val="00AC7634"/>
    <w:rsid w:val="00AD5CA0"/>
    <w:rsid w:val="00AD7969"/>
    <w:rsid w:val="00AE17FB"/>
    <w:rsid w:val="00AE3FA8"/>
    <w:rsid w:val="00AF1CA4"/>
    <w:rsid w:val="00AF5756"/>
    <w:rsid w:val="00B035A7"/>
    <w:rsid w:val="00B04FA3"/>
    <w:rsid w:val="00B162ED"/>
    <w:rsid w:val="00B23AB7"/>
    <w:rsid w:val="00B26A4C"/>
    <w:rsid w:val="00B3138E"/>
    <w:rsid w:val="00B34DA3"/>
    <w:rsid w:val="00B34DAC"/>
    <w:rsid w:val="00B37DFF"/>
    <w:rsid w:val="00B41B40"/>
    <w:rsid w:val="00B4280A"/>
    <w:rsid w:val="00B435D0"/>
    <w:rsid w:val="00B452DC"/>
    <w:rsid w:val="00B4579E"/>
    <w:rsid w:val="00B4667D"/>
    <w:rsid w:val="00B50E3C"/>
    <w:rsid w:val="00B50E94"/>
    <w:rsid w:val="00B56843"/>
    <w:rsid w:val="00B626B8"/>
    <w:rsid w:val="00B6366C"/>
    <w:rsid w:val="00B65A0E"/>
    <w:rsid w:val="00B66EF8"/>
    <w:rsid w:val="00B73BA2"/>
    <w:rsid w:val="00B73EA2"/>
    <w:rsid w:val="00B745DA"/>
    <w:rsid w:val="00B76CE3"/>
    <w:rsid w:val="00B80796"/>
    <w:rsid w:val="00B84B57"/>
    <w:rsid w:val="00B86837"/>
    <w:rsid w:val="00B87F15"/>
    <w:rsid w:val="00B90002"/>
    <w:rsid w:val="00B94469"/>
    <w:rsid w:val="00B958D5"/>
    <w:rsid w:val="00BA0A38"/>
    <w:rsid w:val="00BA1793"/>
    <w:rsid w:val="00BA4A7D"/>
    <w:rsid w:val="00BB5FD9"/>
    <w:rsid w:val="00BC0B91"/>
    <w:rsid w:val="00BC245D"/>
    <w:rsid w:val="00BC5360"/>
    <w:rsid w:val="00BD4E7E"/>
    <w:rsid w:val="00BD7EB0"/>
    <w:rsid w:val="00BE1550"/>
    <w:rsid w:val="00BE1F16"/>
    <w:rsid w:val="00BE32C8"/>
    <w:rsid w:val="00BF3B11"/>
    <w:rsid w:val="00C00324"/>
    <w:rsid w:val="00C007EA"/>
    <w:rsid w:val="00C0582F"/>
    <w:rsid w:val="00C121C1"/>
    <w:rsid w:val="00C1450C"/>
    <w:rsid w:val="00C159E7"/>
    <w:rsid w:val="00C200A1"/>
    <w:rsid w:val="00C2548E"/>
    <w:rsid w:val="00C31289"/>
    <w:rsid w:val="00C315E2"/>
    <w:rsid w:val="00C3177E"/>
    <w:rsid w:val="00C3324B"/>
    <w:rsid w:val="00C37A85"/>
    <w:rsid w:val="00C40ACC"/>
    <w:rsid w:val="00C42127"/>
    <w:rsid w:val="00C425B6"/>
    <w:rsid w:val="00C50BB3"/>
    <w:rsid w:val="00C52779"/>
    <w:rsid w:val="00C5575D"/>
    <w:rsid w:val="00C55D32"/>
    <w:rsid w:val="00C618E6"/>
    <w:rsid w:val="00C61E9E"/>
    <w:rsid w:val="00C62C52"/>
    <w:rsid w:val="00C62FA4"/>
    <w:rsid w:val="00C63B1E"/>
    <w:rsid w:val="00C64AF0"/>
    <w:rsid w:val="00C71F67"/>
    <w:rsid w:val="00C72B5C"/>
    <w:rsid w:val="00C74794"/>
    <w:rsid w:val="00C7604D"/>
    <w:rsid w:val="00C81943"/>
    <w:rsid w:val="00C8342A"/>
    <w:rsid w:val="00C841A5"/>
    <w:rsid w:val="00C85498"/>
    <w:rsid w:val="00C91BF8"/>
    <w:rsid w:val="00C94B1D"/>
    <w:rsid w:val="00CA046A"/>
    <w:rsid w:val="00CA5007"/>
    <w:rsid w:val="00CB06E4"/>
    <w:rsid w:val="00CB0AEC"/>
    <w:rsid w:val="00CB1746"/>
    <w:rsid w:val="00CC3D87"/>
    <w:rsid w:val="00CC5D4B"/>
    <w:rsid w:val="00CC6891"/>
    <w:rsid w:val="00CD410A"/>
    <w:rsid w:val="00CD59C3"/>
    <w:rsid w:val="00CD7FB3"/>
    <w:rsid w:val="00CE1CC1"/>
    <w:rsid w:val="00CF0490"/>
    <w:rsid w:val="00CF6BB5"/>
    <w:rsid w:val="00CF73D3"/>
    <w:rsid w:val="00D0324F"/>
    <w:rsid w:val="00D0483B"/>
    <w:rsid w:val="00D135BE"/>
    <w:rsid w:val="00D15518"/>
    <w:rsid w:val="00D27827"/>
    <w:rsid w:val="00D330D5"/>
    <w:rsid w:val="00D37A56"/>
    <w:rsid w:val="00D4187E"/>
    <w:rsid w:val="00D4475D"/>
    <w:rsid w:val="00D52656"/>
    <w:rsid w:val="00D53DB0"/>
    <w:rsid w:val="00D5437A"/>
    <w:rsid w:val="00D545FF"/>
    <w:rsid w:val="00D67515"/>
    <w:rsid w:val="00D6783B"/>
    <w:rsid w:val="00D67996"/>
    <w:rsid w:val="00D70AD6"/>
    <w:rsid w:val="00D732EA"/>
    <w:rsid w:val="00D733BB"/>
    <w:rsid w:val="00D744F3"/>
    <w:rsid w:val="00D77781"/>
    <w:rsid w:val="00D8252B"/>
    <w:rsid w:val="00D84C2F"/>
    <w:rsid w:val="00D86A2C"/>
    <w:rsid w:val="00D90323"/>
    <w:rsid w:val="00D9034C"/>
    <w:rsid w:val="00D903EA"/>
    <w:rsid w:val="00D944A0"/>
    <w:rsid w:val="00D9581F"/>
    <w:rsid w:val="00DA084F"/>
    <w:rsid w:val="00DA7ECD"/>
    <w:rsid w:val="00DB4AF4"/>
    <w:rsid w:val="00DB68B6"/>
    <w:rsid w:val="00DC15E5"/>
    <w:rsid w:val="00DC7607"/>
    <w:rsid w:val="00DD6DF6"/>
    <w:rsid w:val="00DE06F0"/>
    <w:rsid w:val="00DE1A9F"/>
    <w:rsid w:val="00DE3958"/>
    <w:rsid w:val="00DF3270"/>
    <w:rsid w:val="00DF3D00"/>
    <w:rsid w:val="00DF3F00"/>
    <w:rsid w:val="00DF47B9"/>
    <w:rsid w:val="00DF54FC"/>
    <w:rsid w:val="00DF6EE9"/>
    <w:rsid w:val="00DF725C"/>
    <w:rsid w:val="00DF7726"/>
    <w:rsid w:val="00E02DC2"/>
    <w:rsid w:val="00E06367"/>
    <w:rsid w:val="00E14CDA"/>
    <w:rsid w:val="00E2291C"/>
    <w:rsid w:val="00E236AD"/>
    <w:rsid w:val="00E23B8A"/>
    <w:rsid w:val="00E258C4"/>
    <w:rsid w:val="00E26BB3"/>
    <w:rsid w:val="00E33FC3"/>
    <w:rsid w:val="00E41856"/>
    <w:rsid w:val="00E445A8"/>
    <w:rsid w:val="00E47439"/>
    <w:rsid w:val="00E559E2"/>
    <w:rsid w:val="00E57BA3"/>
    <w:rsid w:val="00E63053"/>
    <w:rsid w:val="00E63FD2"/>
    <w:rsid w:val="00E65AC5"/>
    <w:rsid w:val="00E702C8"/>
    <w:rsid w:val="00E71AE0"/>
    <w:rsid w:val="00E76CCE"/>
    <w:rsid w:val="00E80899"/>
    <w:rsid w:val="00E819BD"/>
    <w:rsid w:val="00E85058"/>
    <w:rsid w:val="00E85E1E"/>
    <w:rsid w:val="00E872AF"/>
    <w:rsid w:val="00E939EF"/>
    <w:rsid w:val="00E97144"/>
    <w:rsid w:val="00EA02E8"/>
    <w:rsid w:val="00EA651F"/>
    <w:rsid w:val="00EA6DD9"/>
    <w:rsid w:val="00EB3973"/>
    <w:rsid w:val="00EB6B9A"/>
    <w:rsid w:val="00EB6DEE"/>
    <w:rsid w:val="00EC1829"/>
    <w:rsid w:val="00EC2625"/>
    <w:rsid w:val="00ED2F56"/>
    <w:rsid w:val="00ED7690"/>
    <w:rsid w:val="00EE32A1"/>
    <w:rsid w:val="00EE3E34"/>
    <w:rsid w:val="00EE5F26"/>
    <w:rsid w:val="00EF1C9A"/>
    <w:rsid w:val="00EF1EC3"/>
    <w:rsid w:val="00EF255E"/>
    <w:rsid w:val="00EF36FC"/>
    <w:rsid w:val="00EF4CDE"/>
    <w:rsid w:val="00EF4DE2"/>
    <w:rsid w:val="00EF5C87"/>
    <w:rsid w:val="00F000B8"/>
    <w:rsid w:val="00F01029"/>
    <w:rsid w:val="00F03A87"/>
    <w:rsid w:val="00F055DE"/>
    <w:rsid w:val="00F252FB"/>
    <w:rsid w:val="00F27543"/>
    <w:rsid w:val="00F3242C"/>
    <w:rsid w:val="00F341B2"/>
    <w:rsid w:val="00F34A13"/>
    <w:rsid w:val="00F400B1"/>
    <w:rsid w:val="00F41BB8"/>
    <w:rsid w:val="00F47415"/>
    <w:rsid w:val="00F53236"/>
    <w:rsid w:val="00F5459B"/>
    <w:rsid w:val="00F60059"/>
    <w:rsid w:val="00F67CB8"/>
    <w:rsid w:val="00F737EF"/>
    <w:rsid w:val="00F80829"/>
    <w:rsid w:val="00F82619"/>
    <w:rsid w:val="00F85856"/>
    <w:rsid w:val="00F9129A"/>
    <w:rsid w:val="00F938F5"/>
    <w:rsid w:val="00F957FE"/>
    <w:rsid w:val="00F96250"/>
    <w:rsid w:val="00F96FE3"/>
    <w:rsid w:val="00F97678"/>
    <w:rsid w:val="00FA3846"/>
    <w:rsid w:val="00FA5EC8"/>
    <w:rsid w:val="00FB0180"/>
    <w:rsid w:val="00FB4EE4"/>
    <w:rsid w:val="00FD6874"/>
    <w:rsid w:val="00FE2868"/>
    <w:rsid w:val="00FE31B6"/>
    <w:rsid w:val="00FF342B"/>
    <w:rsid w:val="00FF54EF"/>
    <w:rsid w:val="058A1B13"/>
    <w:rsid w:val="0AE44F0A"/>
    <w:rsid w:val="18BC2DEF"/>
    <w:rsid w:val="1F684999"/>
    <w:rsid w:val="204D434C"/>
    <w:rsid w:val="299E3E69"/>
    <w:rsid w:val="2BC90F6A"/>
    <w:rsid w:val="2D144606"/>
    <w:rsid w:val="33115B06"/>
    <w:rsid w:val="3CA45DE0"/>
    <w:rsid w:val="3D540E77"/>
    <w:rsid w:val="3F515B01"/>
    <w:rsid w:val="4698300F"/>
    <w:rsid w:val="47100C58"/>
    <w:rsid w:val="47902D97"/>
    <w:rsid w:val="4CD464FD"/>
    <w:rsid w:val="508D513F"/>
    <w:rsid w:val="55CF3A25"/>
    <w:rsid w:val="59B42B83"/>
    <w:rsid w:val="5B017B2A"/>
    <w:rsid w:val="66ED6194"/>
    <w:rsid w:val="6FAC228C"/>
    <w:rsid w:val="734D226B"/>
    <w:rsid w:val="754C6CA4"/>
    <w:rsid w:val="78096C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1">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42"/>
    <w:semiHidden/>
    <w:qFormat/>
    <w:uiPriority w:val="99"/>
    <w:rPr>
      <w:b/>
      <w:bCs/>
    </w:rPr>
  </w:style>
  <w:style w:type="paragraph" w:styleId="3">
    <w:name w:val="annotation text"/>
    <w:basedOn w:val="1"/>
    <w:link w:val="38"/>
    <w:semiHidden/>
    <w:qFormat/>
    <w:uiPriority w:val="99"/>
    <w:pPr>
      <w:jc w:val="left"/>
    </w:pPr>
  </w:style>
  <w:style w:type="paragraph" w:styleId="4">
    <w:name w:val="Body Text"/>
    <w:basedOn w:val="1"/>
    <w:link w:val="23"/>
    <w:qFormat/>
    <w:uiPriority w:val="99"/>
    <w:pPr>
      <w:spacing w:after="120"/>
    </w:pPr>
    <w:rPr>
      <w:rFonts w:ascii="宋体" w:hAnsi="华文中宋" w:eastAsia="宋体" w:cs="宋体"/>
    </w:rPr>
  </w:style>
  <w:style w:type="paragraph" w:styleId="5">
    <w:name w:val="Body Text Indent"/>
    <w:basedOn w:val="1"/>
    <w:link w:val="37"/>
    <w:qFormat/>
    <w:uiPriority w:val="99"/>
    <w:pPr>
      <w:spacing w:after="120"/>
      <w:ind w:left="420" w:leftChars="200"/>
    </w:pPr>
  </w:style>
  <w:style w:type="paragraph" w:styleId="6">
    <w:name w:val="Date"/>
    <w:basedOn w:val="1"/>
    <w:next w:val="1"/>
    <w:link w:val="21"/>
    <w:qFormat/>
    <w:uiPriority w:val="99"/>
    <w:pPr>
      <w:ind w:left="100" w:leftChars="2500"/>
    </w:pPr>
  </w:style>
  <w:style w:type="paragraph" w:styleId="7">
    <w:name w:val="Balloon Text"/>
    <w:basedOn w:val="1"/>
    <w:link w:val="18"/>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99"/>
  </w:style>
  <w:style w:type="character" w:styleId="13">
    <w:name w:val="FollowedHyperlink"/>
    <w:basedOn w:val="11"/>
    <w:qFormat/>
    <w:locked/>
    <w:uiPriority w:val="0"/>
    <w:rPr>
      <w:color w:val="72ACE8"/>
      <w:u w:val="single"/>
    </w:rPr>
  </w:style>
  <w:style w:type="character" w:styleId="14">
    <w:name w:val="Hyperlink"/>
    <w:basedOn w:val="11"/>
    <w:qFormat/>
    <w:uiPriority w:val="99"/>
    <w:rPr>
      <w:color w:val="72ACE8"/>
      <w:u w:val="single"/>
    </w:rPr>
  </w:style>
  <w:style w:type="character" w:styleId="15">
    <w:name w:val="annotation reference"/>
    <w:basedOn w:val="11"/>
    <w:semiHidden/>
    <w:qFormat/>
    <w:uiPriority w:val="99"/>
    <w:rPr>
      <w:sz w:val="21"/>
      <w:szCs w:val="21"/>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批注框文本 Char"/>
    <w:basedOn w:val="11"/>
    <w:link w:val="7"/>
    <w:semiHidden/>
    <w:qFormat/>
    <w:locked/>
    <w:uiPriority w:val="99"/>
    <w:rPr>
      <w:rFonts w:eastAsia="仿宋_GB2312"/>
      <w:kern w:val="2"/>
      <w:sz w:val="18"/>
      <w:szCs w:val="18"/>
    </w:rPr>
  </w:style>
  <w:style w:type="character" w:customStyle="1" w:styleId="19">
    <w:name w:val="页脚 Char"/>
    <w:basedOn w:val="11"/>
    <w:link w:val="8"/>
    <w:qFormat/>
    <w:locked/>
    <w:uiPriority w:val="99"/>
    <w:rPr>
      <w:rFonts w:eastAsia="仿宋_GB2312"/>
      <w:kern w:val="2"/>
      <w:sz w:val="18"/>
      <w:szCs w:val="18"/>
    </w:rPr>
  </w:style>
  <w:style w:type="character" w:customStyle="1" w:styleId="20">
    <w:name w:val="页眉 Char"/>
    <w:basedOn w:val="11"/>
    <w:link w:val="9"/>
    <w:semiHidden/>
    <w:qFormat/>
    <w:uiPriority w:val="99"/>
    <w:rPr>
      <w:rFonts w:eastAsia="仿宋_GB2312"/>
      <w:sz w:val="18"/>
      <w:szCs w:val="18"/>
    </w:rPr>
  </w:style>
  <w:style w:type="character" w:customStyle="1" w:styleId="21">
    <w:name w:val="日期 Char"/>
    <w:basedOn w:val="11"/>
    <w:link w:val="6"/>
    <w:qFormat/>
    <w:locked/>
    <w:uiPriority w:val="99"/>
    <w:rPr>
      <w:rFonts w:eastAsia="仿宋_GB2312"/>
      <w:kern w:val="2"/>
      <w:sz w:val="24"/>
      <w:szCs w:val="24"/>
    </w:rPr>
  </w:style>
  <w:style w:type="paragraph" w:customStyle="1" w:styleId="22">
    <w:name w:val="Char"/>
    <w:basedOn w:val="1"/>
    <w:qFormat/>
    <w:uiPriority w:val="99"/>
    <w:pPr>
      <w:spacing w:line="240" w:lineRule="atLeast"/>
      <w:ind w:left="420" w:firstLine="420"/>
    </w:pPr>
    <w:rPr>
      <w:rFonts w:eastAsia="宋体"/>
      <w:kern w:val="0"/>
      <w:sz w:val="21"/>
      <w:szCs w:val="21"/>
    </w:rPr>
  </w:style>
  <w:style w:type="character" w:customStyle="1" w:styleId="23">
    <w:name w:val="正文文本 Char"/>
    <w:basedOn w:val="11"/>
    <w:link w:val="4"/>
    <w:semiHidden/>
    <w:qFormat/>
    <w:uiPriority w:val="99"/>
    <w:rPr>
      <w:rFonts w:eastAsia="仿宋_GB2312"/>
      <w:sz w:val="32"/>
      <w:szCs w:val="32"/>
    </w:rPr>
  </w:style>
  <w:style w:type="paragraph" w:customStyle="1" w:styleId="24">
    <w:name w:val="Char Char Char"/>
    <w:basedOn w:val="1"/>
    <w:qFormat/>
    <w:uiPriority w:val="99"/>
    <w:rPr>
      <w:rFonts w:ascii="仿宋_GB2312" w:cs="仿宋_GB2312"/>
      <w:b/>
      <w:bCs/>
    </w:rPr>
  </w:style>
  <w:style w:type="paragraph" w:customStyle="1" w:styleId="25">
    <w:name w:val="Char1"/>
    <w:basedOn w:val="1"/>
    <w:qFormat/>
    <w:uiPriority w:val="99"/>
    <w:rPr>
      <w:rFonts w:ascii="仿宋_GB2312" w:cs="仿宋_GB2312"/>
      <w:b/>
      <w:bCs/>
    </w:rPr>
  </w:style>
  <w:style w:type="character" w:customStyle="1" w:styleId="26">
    <w:name w:val="title21"/>
    <w:basedOn w:val="11"/>
    <w:qFormat/>
    <w:uiPriority w:val="99"/>
    <w:rPr>
      <w:b/>
      <w:bCs/>
      <w:color w:val="000000"/>
      <w:sz w:val="33"/>
      <w:szCs w:val="33"/>
    </w:rPr>
  </w:style>
  <w:style w:type="paragraph" w:customStyle="1" w:styleId="27">
    <w:name w:val="Char Char Char Char"/>
    <w:basedOn w:val="1"/>
    <w:qFormat/>
    <w:uiPriority w:val="99"/>
    <w:rPr>
      <w:rFonts w:ascii="仿宋_GB2312" w:cs="仿宋_GB2312"/>
      <w:b/>
      <w:bCs/>
    </w:rPr>
  </w:style>
  <w:style w:type="paragraph" w:customStyle="1" w:styleId="28">
    <w:name w:val="样式 (中文) 方正小标宋简体 二号 居中 左侧:  0 厘米 悬挂缩进: 6.95 字符 行距: 固定值 32 磅"/>
    <w:basedOn w:val="1"/>
    <w:qFormat/>
    <w:uiPriority w:val="99"/>
    <w:pPr>
      <w:spacing w:line="640" w:lineRule="exact"/>
      <w:jc w:val="center"/>
    </w:pPr>
    <w:rPr>
      <w:rFonts w:eastAsia="方正小标宋简体"/>
      <w:sz w:val="44"/>
      <w:szCs w:val="44"/>
    </w:rPr>
  </w:style>
  <w:style w:type="paragraph" w:customStyle="1" w:styleId="29">
    <w:name w:val="列出段落1"/>
    <w:basedOn w:val="1"/>
    <w:qFormat/>
    <w:uiPriority w:val="99"/>
    <w:pPr>
      <w:ind w:firstLine="420" w:firstLineChars="200"/>
    </w:pPr>
    <w:rPr>
      <w:rFonts w:ascii="Calibri" w:hAnsi="Calibri" w:eastAsia="宋体" w:cs="Calibri"/>
      <w:sz w:val="21"/>
      <w:szCs w:val="21"/>
    </w:rPr>
  </w:style>
  <w:style w:type="paragraph" w:customStyle="1" w:styleId="30">
    <w:name w:val="Char Char1"/>
    <w:basedOn w:val="1"/>
    <w:qFormat/>
    <w:uiPriority w:val="99"/>
    <w:rPr>
      <w:rFonts w:eastAsia="宋体"/>
      <w:sz w:val="21"/>
      <w:szCs w:val="21"/>
    </w:rPr>
  </w:style>
  <w:style w:type="paragraph" w:customStyle="1" w:styleId="31">
    <w:name w:val="默认段落字体 Para Char Char Char Char Char Char Char Char Char1 Char Char Char Char"/>
    <w:basedOn w:val="1"/>
    <w:qFormat/>
    <w:uiPriority w:val="0"/>
    <w:rPr>
      <w:rFonts w:eastAsia="宋体"/>
      <w:sz w:val="21"/>
      <w:szCs w:val="21"/>
    </w:rPr>
  </w:style>
  <w:style w:type="paragraph" w:customStyle="1" w:styleId="32">
    <w:name w:val="List Paragraph"/>
    <w:basedOn w:val="1"/>
    <w:qFormat/>
    <w:uiPriority w:val="99"/>
    <w:pPr>
      <w:ind w:firstLine="420" w:firstLineChars="200"/>
    </w:pPr>
    <w:rPr>
      <w:rFonts w:ascii="Calibri" w:hAnsi="Calibri" w:eastAsia="宋体" w:cs="Calibri"/>
      <w:sz w:val="21"/>
      <w:szCs w:val="21"/>
    </w:rPr>
  </w:style>
  <w:style w:type="paragraph" w:customStyle="1" w:styleId="33">
    <w:name w:val="No Spacing"/>
    <w:qFormat/>
    <w:uiPriority w:val="99"/>
    <w:pPr>
      <w:widowControl w:val="0"/>
      <w:jc w:val="both"/>
    </w:pPr>
    <w:rPr>
      <w:rFonts w:ascii="Times New Roman" w:hAnsi="Times New Roman" w:eastAsia="宋体" w:cs="Times New Roman"/>
      <w:kern w:val="2"/>
      <w:sz w:val="32"/>
      <w:szCs w:val="32"/>
      <w:lang w:val="en-US" w:eastAsia="zh-CN" w:bidi="ar-SA"/>
    </w:rPr>
  </w:style>
  <w:style w:type="paragraph" w:customStyle="1" w:styleId="34">
    <w:name w:val="列出段落2"/>
    <w:basedOn w:val="1"/>
    <w:qFormat/>
    <w:uiPriority w:val="99"/>
    <w:pPr>
      <w:ind w:firstLine="420" w:firstLineChars="200"/>
    </w:pPr>
  </w:style>
  <w:style w:type="paragraph" w:customStyle="1" w:styleId="35">
    <w:name w:val="Char2"/>
    <w:basedOn w:val="1"/>
    <w:qFormat/>
    <w:uiPriority w:val="99"/>
    <w:pPr>
      <w:spacing w:line="240" w:lineRule="atLeast"/>
      <w:ind w:left="420" w:firstLine="420"/>
    </w:pPr>
    <w:rPr>
      <w:rFonts w:eastAsia="宋体"/>
      <w:kern w:val="0"/>
      <w:sz w:val="21"/>
      <w:szCs w:val="21"/>
    </w:rPr>
  </w:style>
  <w:style w:type="paragraph" w:customStyle="1" w:styleId="36">
    <w:name w:val="Char Char Char1"/>
    <w:basedOn w:val="1"/>
    <w:qFormat/>
    <w:uiPriority w:val="99"/>
    <w:rPr>
      <w:rFonts w:ascii="仿宋_GB2312" w:cs="仿宋_GB2312"/>
      <w:b/>
      <w:bCs/>
    </w:rPr>
  </w:style>
  <w:style w:type="character" w:customStyle="1" w:styleId="37">
    <w:name w:val="正文文本缩进 Char"/>
    <w:basedOn w:val="11"/>
    <w:link w:val="5"/>
    <w:qFormat/>
    <w:locked/>
    <w:uiPriority w:val="99"/>
    <w:rPr>
      <w:rFonts w:eastAsia="仿宋_GB2312"/>
      <w:kern w:val="2"/>
      <w:sz w:val="24"/>
      <w:szCs w:val="24"/>
    </w:rPr>
  </w:style>
  <w:style w:type="character" w:customStyle="1" w:styleId="38">
    <w:name w:val="批注文字 Char"/>
    <w:basedOn w:val="11"/>
    <w:link w:val="3"/>
    <w:qFormat/>
    <w:locked/>
    <w:uiPriority w:val="99"/>
    <w:rPr>
      <w:rFonts w:eastAsia="仿宋_GB2312"/>
      <w:kern w:val="2"/>
      <w:sz w:val="24"/>
      <w:szCs w:val="24"/>
    </w:rPr>
  </w:style>
  <w:style w:type="paragraph" w:customStyle="1" w:styleId="39">
    <w:name w:val="Char Char1 Char Char Char Char Char Char Char Char Char Char"/>
    <w:basedOn w:val="1"/>
    <w:qFormat/>
    <w:uiPriority w:val="99"/>
    <w:pPr>
      <w:widowControl/>
      <w:spacing w:after="160" w:line="240" w:lineRule="exact"/>
      <w:jc w:val="left"/>
    </w:pPr>
    <w:rPr>
      <w:rFonts w:eastAsia="宋体"/>
      <w:kern w:val="0"/>
      <w:sz w:val="20"/>
      <w:szCs w:val="20"/>
    </w:rPr>
  </w:style>
  <w:style w:type="paragraph" w:customStyle="1" w:styleId="40">
    <w:name w:val="Char Char1 Char Char Char Char Char Char Char Char Char Char1"/>
    <w:basedOn w:val="1"/>
    <w:qFormat/>
    <w:uiPriority w:val="99"/>
    <w:pPr>
      <w:widowControl/>
      <w:spacing w:after="160" w:line="240" w:lineRule="exact"/>
      <w:jc w:val="left"/>
    </w:pPr>
    <w:rPr>
      <w:rFonts w:eastAsia="宋体"/>
      <w:sz w:val="21"/>
      <w:szCs w:val="21"/>
    </w:rPr>
  </w:style>
  <w:style w:type="paragraph" w:customStyle="1" w:styleId="41">
    <w:name w:val="p0"/>
    <w:basedOn w:val="1"/>
    <w:qFormat/>
    <w:uiPriority w:val="99"/>
    <w:pPr>
      <w:widowControl/>
    </w:pPr>
    <w:rPr>
      <w:rFonts w:eastAsia="宋体"/>
      <w:kern w:val="0"/>
    </w:rPr>
  </w:style>
  <w:style w:type="character" w:customStyle="1" w:styleId="42">
    <w:name w:val="批注主题 Char"/>
    <w:basedOn w:val="38"/>
    <w:link w:val="2"/>
    <w:qFormat/>
    <w:locked/>
    <w:uiPriority w:val="99"/>
    <w:rPr>
      <w:b/>
      <w:bCs/>
    </w:rPr>
  </w:style>
  <w:style w:type="character" w:customStyle="1" w:styleId="43">
    <w:name w:val="edui-unclickable"/>
    <w:basedOn w:val="11"/>
    <w:qFormat/>
    <w:uiPriority w:val="0"/>
    <w:rPr>
      <w:color w:val="808080"/>
    </w:rPr>
  </w:style>
  <w:style w:type="character" w:customStyle="1" w:styleId="44">
    <w:name w:val="wuidatespan"/>
    <w:basedOn w:val="11"/>
    <w:qFormat/>
    <w:uiPriority w:val="0"/>
  </w:style>
  <w:style w:type="character" w:customStyle="1" w:styleId="45">
    <w:name w:val="edui-clickable"/>
    <w:basedOn w:val="11"/>
    <w:qFormat/>
    <w:uiPriority w:val="0"/>
    <w:rPr>
      <w:color w:val="0000FF"/>
      <w:u w:val="single"/>
    </w:rPr>
  </w:style>
  <w:style w:type="character" w:customStyle="1" w:styleId="46">
    <w:name w:val="href"/>
    <w:basedOn w:val="11"/>
    <w:qFormat/>
    <w:uiPriority w:val="0"/>
    <w:rPr>
      <w:color w:val="0000FF"/>
      <w:u w:val="single"/>
    </w:rPr>
  </w:style>
  <w:style w:type="character" w:customStyle="1" w:styleId="47">
    <w:name w:val="first-child"/>
    <w:basedOn w:val="11"/>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107"/>
    <customShpInfo spid="_x0000_s2108"/>
    <customShpInfo spid="_x0000_s21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52</Words>
  <Characters>300</Characters>
  <Lines>2</Lines>
  <Paragraphs>1</Paragraphs>
  <ScaleCrop>false</ScaleCrop>
  <LinksUpToDate>false</LinksUpToDate>
  <CharactersWithSpaces>351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2016-01-15T06:35:00Z</dcterms:created>
  <dc:creator>Administrator</dc:creator>
  <cp:lastModifiedBy>傅华燕</cp:lastModifiedBy>
  <cp:lastPrinted>2018-02-05T06:07:00Z</cp:lastPrinted>
  <dcterms:modified xsi:type="dcterms:W3CDTF">2020-05-14T08:26:49Z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