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绍兴市人民政府办公室</w:t>
      </w:r>
      <w:r>
        <w:rPr>
          <w:rFonts w:hint="eastAsia" w:ascii="方正小标宋简体" w:eastAsia="方正小标宋简体"/>
          <w:sz w:val="44"/>
          <w:szCs w:val="44"/>
        </w:rPr>
        <w:t>关于推动绍兴建筑业改革创新高质量发展的实施意见》政策解读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kern w:val="2"/>
          <w:sz w:val="32"/>
          <w:szCs w:val="32"/>
        </w:rPr>
        <w:t>制定背景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黑体" w:eastAsia="楷体_GB2312" w:cs="黑体"/>
          <w:bCs/>
          <w:kern w:val="2"/>
          <w:sz w:val="32"/>
          <w:szCs w:val="32"/>
        </w:rPr>
      </w:pPr>
      <w:r>
        <w:rPr>
          <w:rFonts w:hint="eastAsia" w:ascii="楷体_GB2312" w:hAnsi="黑体" w:eastAsia="楷体_GB2312" w:cs="黑体"/>
          <w:bCs/>
          <w:sz w:val="32"/>
          <w:szCs w:val="32"/>
        </w:rPr>
        <w:t>（一）起草背景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建筑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业是我市支柱产业、富民产业之一。</w:t>
      </w:r>
      <w:r>
        <w:rPr>
          <w:rFonts w:hint="eastAsia" w:ascii="仿宋_GB2312" w:hAnsi="仿宋_GB2312" w:eastAsia="仿宋_GB2312" w:cs="仿宋_GB2312"/>
          <w:sz w:val="32"/>
          <w:szCs w:val="32"/>
        </w:rPr>
        <w:t>“十三五”期间，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建筑业累计实现产值达31584.12亿元，占全省的25.9%左右，居全省第一，累计实现税收收入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240.5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亿元，建筑业增加值占GDP比重及建筑业税收占全部税收比例均在8个点左右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累计</w:t>
      </w:r>
      <w:r>
        <w:rPr>
          <w:rFonts w:hint="eastAsia" w:ascii="仿宋_GB2312" w:hAnsi="仿宋" w:eastAsia="仿宋_GB2312"/>
          <w:sz w:val="32"/>
          <w:szCs w:val="32"/>
        </w:rPr>
        <w:t>获得“鲁班奖”“国家优质工程奖”等国家级奖项15个，获得“钱江杯”“白玉兰杯”等省级奖项195个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,树立了“建筑强市”的品牌。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在行业稳步发展的同时，我市建筑业也面临一些突出问题，行业发展瓶颈</w:t>
      </w:r>
      <w:r>
        <w:rPr>
          <w:rFonts w:hint="eastAsia" w:ascii="仿宋_GB2312" w:hAnsi="仿宋" w:eastAsia="仿宋_GB2312"/>
          <w:sz w:val="32"/>
          <w:szCs w:val="32"/>
        </w:rPr>
        <w:t>的掣肘愈发凸显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尤其是招投标模式、新型建筑产业化发展、建筑产业链、企业转型升级、科技创新、市场拓展、产业工人培育等方面的问题亟待解决。根据全省建筑业高质量发展的工作要求，有必要出台更有力的措施，促进建筑业产值进一步加快提升，为我市经济稳增长发挥更大的作用。</w:t>
      </w:r>
    </w:p>
    <w:p>
      <w:pPr>
        <w:pStyle w:val="5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560" w:lineRule="exact"/>
        <w:ind w:left="0" w:leftChars="0" w:right="0" w:rightChars="0" w:firstLine="640"/>
        <w:textAlignment w:val="auto"/>
        <w:outlineLvl w:val="9"/>
        <w:rPr>
          <w:rFonts w:hint="eastAsia" w:ascii="楷体_GB2312" w:hAnsi="黑体" w:eastAsia="楷体_GB2312" w:cs="黑体"/>
          <w:bCs/>
          <w:sz w:val="32"/>
          <w:szCs w:val="32"/>
        </w:rPr>
      </w:pPr>
      <w:r>
        <w:rPr>
          <w:rFonts w:hint="eastAsia" w:ascii="楷体_GB2312" w:hAnsi="黑体" w:eastAsia="楷体_GB2312" w:cs="黑体"/>
          <w:bCs/>
          <w:sz w:val="32"/>
          <w:szCs w:val="32"/>
        </w:rPr>
        <w:t>（二）制定目的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中央、省、市相关会议精神，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奋力打造产业创新升级，</w:t>
      </w:r>
      <w:r>
        <w:rPr>
          <w:rFonts w:hint="eastAsia" w:ascii="仿宋_GB2312" w:hAnsi="仿宋_GB2312" w:eastAsia="仿宋_GB2312" w:cs="仿宋_GB2312"/>
          <w:sz w:val="32"/>
          <w:szCs w:val="32"/>
        </w:rPr>
        <w:t>巩固提升建筑业在我市经济社会发展中的支柱地位，以改革创新引领建筑业高质量发展，进一步彰显“绍兴建筑”品牌效应，打造成为全国建筑业发展排头兵，成为展示浙江省新型建筑工业化的“重要窗口”。</w:t>
      </w:r>
    </w:p>
    <w:p>
      <w:pPr>
        <w:pStyle w:val="5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560" w:lineRule="exact"/>
        <w:ind w:left="0" w:leftChars="0" w:right="0" w:rightChars="0" w:firstLine="640"/>
        <w:textAlignment w:val="auto"/>
        <w:outlineLvl w:val="9"/>
        <w:rPr>
          <w:rFonts w:hint="eastAsia" w:ascii="黑体" w:hAnsi="宋体" w:eastAsia="黑体" w:cs="黑体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sz w:val="32"/>
          <w:szCs w:val="32"/>
        </w:rPr>
        <w:t>二、政策</w:t>
      </w:r>
      <w:r>
        <w:rPr>
          <w:rFonts w:hint="eastAsia" w:ascii="黑体" w:hAnsi="宋体" w:eastAsia="黑体" w:cs="黑体"/>
          <w:sz w:val="32"/>
          <w:szCs w:val="32"/>
          <w:lang w:eastAsia="zh-CN"/>
        </w:rPr>
        <w:t>措施</w:t>
      </w:r>
    </w:p>
    <w:p>
      <w:pPr>
        <w:pStyle w:val="5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560" w:lineRule="exact"/>
        <w:ind w:left="0" w:leftChars="0" w:right="0" w:rightChars="0" w:firstLine="640"/>
        <w:textAlignment w:val="auto"/>
        <w:outlineLvl w:val="9"/>
        <w:rPr>
          <w:rFonts w:hint="eastAsia" w:ascii="楷体_GB2312" w:hAnsi="黑体" w:eastAsia="楷体_GB2312" w:cs="黑体"/>
          <w:bCs/>
          <w:sz w:val="32"/>
          <w:szCs w:val="32"/>
        </w:rPr>
      </w:pPr>
      <w:r>
        <w:rPr>
          <w:rFonts w:hint="eastAsia" w:ascii="楷体_GB2312" w:hAnsi="黑体" w:eastAsia="楷体_GB2312" w:cs="黑体"/>
          <w:bCs/>
          <w:sz w:val="32"/>
          <w:szCs w:val="32"/>
        </w:rPr>
        <w:t>（一）主要内容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《实施意见》明确了今后一段时期我市建筑业高质量发展的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主要目标、重点举措和保障措施。其中：</w:t>
      </w:r>
    </w:p>
    <w:p>
      <w:pPr>
        <w:spacing w:line="540" w:lineRule="exact"/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第一部分主要目标提出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产业发展树立新优势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行业治理能力实现新突破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建筑工业化实现新发展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绿色建筑迈上新台阶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品牌建设再上新高地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科技创新实现新跨越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产业队伍形成新方阵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质量安全保障创新新机制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2025年，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建筑业各项主要经济指标继续保持全国地级市前列，建筑业增加值占全市生产总值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GDP)</w:t>
      </w:r>
      <w:r>
        <w:rPr>
          <w:rFonts w:hint="eastAsia" w:ascii="仿宋_GB2312" w:hAnsi="仿宋_GB2312" w:eastAsia="仿宋_GB2312" w:cs="仿宋_GB2312"/>
          <w:sz w:val="32"/>
          <w:szCs w:val="32"/>
        </w:rPr>
        <w:t>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</w:t>
      </w:r>
      <w:r>
        <w:rPr>
          <w:rFonts w:hint="eastAsia" w:ascii="仿宋_GB2312" w:hAnsi="仿宋_GB2312" w:eastAsia="仿宋_GB2312" w:cs="仿宋_GB2312"/>
          <w:sz w:val="32"/>
          <w:szCs w:val="32"/>
        </w:rPr>
        <w:t>保持在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%以上，建筑业入库税收占全市入库税收保持在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%以上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市外市场占有率不断提高，百亿级省级市场保持在10个以上；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培育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500亿以上规模企业2家，100亿以上企业15家；</w:t>
      </w:r>
      <w:r>
        <w:rPr>
          <w:rFonts w:hint="eastAsia" w:ascii="仿宋_GB2312" w:hAnsi="仿宋_GB2312" w:eastAsia="仿宋_GB2312" w:cs="仿宋_GB2312"/>
          <w:sz w:val="32"/>
          <w:szCs w:val="32"/>
        </w:rPr>
        <w:t>培育30家以上具有核心竞争力的工程总承包和全过程工程咨询企业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装配式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建筑占新建建筑比例达到40%以上，钢结构建筑占装配式建筑比例达到40%以上，继续在全国发挥示范引领作用。完成高星级绿色建筑项目28个，完成超低能耗建筑面积24万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平方米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，（近）零能耗建筑项目4个，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持续开展绿色建筑示范区建设，建成一批高品质绿色建筑项目，创建一批节能低碳、智慧宜居的绿色建筑示范区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以主承建单位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创建“鲁班奖”“国家优质工程奖”等国家级优质工程15个以上，“钱江杯”“白玉兰杯”等省级优质工程200个以上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建筑信息模型（BIM）、物联网、大数据、云计算、智能建造等数字技术全面应用于建筑产业，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政府投资项目智</w:t>
      </w:r>
      <w:r>
        <w:rPr>
          <w:rFonts w:hint="eastAsia" w:ascii="仿宋_GB2312" w:hAnsi="仿宋_GB2312" w:eastAsia="仿宋_GB2312" w:cs="仿宋_GB2312"/>
          <w:sz w:val="32"/>
          <w:szCs w:val="32"/>
        </w:rPr>
        <w:t>慧工地覆盖率达100%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科技创新能力进一步增强，累计建成省级以上技术中心30家。全面推进建筑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数字化改革，搭建“智慧建设”平台，行业整体智治水平显著提升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培养一批建筑产业领域的高级管理人才、专业技术人才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第二部分重点举措第一方面为完善政府组织模式，推动行业转型发展。第一条提出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建立建筑市场信用评价体系，明确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管理方式，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适用范围及关联事项。</w:t>
      </w: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第二条提出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完善招投标管理制度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坚持择优和竞价相结合，合理选择招标模式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，不断完善信用分在招标投标中的应用，</w:t>
      </w:r>
      <w:r>
        <w:rPr>
          <w:rFonts w:hint="eastAsia" w:ascii="仿宋_GB2312" w:hAnsi="仿宋_GB2312" w:eastAsia="仿宋_GB2312" w:cs="仿宋_GB2312"/>
          <w:sz w:val="32"/>
          <w:szCs w:val="32"/>
        </w:rPr>
        <w:t>探索推行合同网签和评标定标分离方法，倡导优先选择信用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等级良好</w:t>
      </w:r>
      <w:r>
        <w:rPr>
          <w:rFonts w:hint="eastAsia" w:ascii="仿宋_GB2312" w:hAnsi="仿宋_GB2312" w:eastAsia="仿宋_GB2312" w:cs="仿宋_GB2312"/>
          <w:sz w:val="32"/>
          <w:szCs w:val="32"/>
        </w:rPr>
        <w:t>，信誉度高的企业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第三条提出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推进“联合体”招投标模式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，明确政府投资性项目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实施“联合体”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</w:t>
      </w:r>
      <w:r>
        <w:rPr>
          <w:rFonts w:hint="eastAsia" w:ascii="仿宋_GB2312" w:hAnsi="仿宋_GB2312" w:eastAsia="仿宋_GB2312" w:cs="仿宋_GB2312"/>
          <w:sz w:val="32"/>
          <w:szCs w:val="32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的占比。</w:t>
      </w: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第四条提出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推进工程总承包模式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适宜采用工程总承包的政府投资项目、国有资金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占</w:t>
      </w:r>
      <w:r>
        <w:rPr>
          <w:rFonts w:hint="eastAsia" w:ascii="仿宋_GB2312" w:hAnsi="仿宋_GB2312" w:eastAsia="仿宋_GB2312" w:cs="仿宋_GB2312"/>
          <w:sz w:val="32"/>
          <w:szCs w:val="32"/>
        </w:rPr>
        <w:t>控股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工程总承包；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钢结构装配式建筑原则上采用工程总承包方式，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并宜采用总价合同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第五条提出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推进全过程工程咨询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，分层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推行工程建设全过程咨询服务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，积极培育全领域全过程工程咨询企业。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</w:pP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第二方面为推广新型建造方式，促进建筑工业化发展。</w:t>
      </w: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ab/>
      </w: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第一条提出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加快推进绿色建筑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，明确新建民用建筑、公用建筑和政府投资公益性建筑的绿色标准，积极推进既有建筑的节能改造，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加大可再生能源应用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提升建筑垃圾资源化利用水平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建立绿色建材采信机制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第二条提出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加快推进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钢结构等装配式建筑，扶持一批精于钢结构等装配式建造方式的示范企业，</w:t>
      </w:r>
      <w:r>
        <w:rPr>
          <w:rFonts w:hint="eastAsia" w:ascii="仿宋_GB2312" w:hAnsi="仿宋_GB2312" w:eastAsia="仿宋_GB2312" w:cs="仿宋_GB2312"/>
          <w:sz w:val="32"/>
          <w:szCs w:val="32"/>
        </w:rPr>
        <w:t>大力发展钢结构装配式住宅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适宜采用装配式结构的政府投资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新建项目中优先</w:t>
      </w:r>
      <w:r>
        <w:rPr>
          <w:rFonts w:hint="eastAsia" w:ascii="仿宋_GB2312" w:hAnsi="仿宋_GB2312" w:eastAsia="仿宋_GB2312" w:cs="仿宋_GB2312"/>
          <w:sz w:val="32"/>
          <w:szCs w:val="32"/>
        </w:rPr>
        <w:t>采用钢结构等装配式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建造方式。</w:t>
      </w: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第三条提出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加快推进装配化装修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，培育一批设计、生产、施工一体化的装配式装修企业，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政府性投资新建、改建公共建筑原则上采用装配化装修。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第三方面为丰富产业发展模式，拉长绍兴建筑产业链。第一条提出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打造建筑产业集群，整合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咨询服务、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建筑材料、建筑机械、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建筑装备、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技术研发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、建筑施工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</w:t>
      </w:r>
      <w:r>
        <w:rPr>
          <w:rFonts w:hint="eastAsia" w:ascii="仿宋_GB2312" w:hAnsi="仿宋_GB2312" w:eastAsia="仿宋_GB2312" w:cs="仿宋_GB2312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，打造贯穿整个建造过程的新型建筑产业园。</w:t>
      </w: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第二条提出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补齐行业短板，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积极培育工程勘察综合甲级、工程设计综合甲级、工程监理综合甲级企业，发展建筑装备，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在特种机械、成套装具等领域。</w:t>
      </w:r>
      <w:r>
        <w:rPr>
          <w:rFonts w:hint="eastAsia" w:ascii="楷体_GB2312" w:hAnsi="黑体" w:eastAsia="楷体_GB2312" w:cs="黑体"/>
          <w:bCs/>
          <w:color w:val="auto"/>
          <w:kern w:val="0"/>
          <w:sz w:val="32"/>
          <w:szCs w:val="32"/>
          <w:lang w:val="en-US" w:eastAsia="zh-CN" w:bidi="ar-SA"/>
        </w:rPr>
        <w:t>第三条提出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加快推进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能建造方式，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积极开发、引进、应用建筑机器人，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推动建立智能建造基地，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推动建筑信息模型（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BIM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）技术应用。</w:t>
      </w:r>
    </w:p>
    <w:p>
      <w:pPr>
        <w:tabs>
          <w:tab w:val="left" w:pos="1306"/>
        </w:tabs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color w:val="5B9BD5" w:themeColor="accent1"/>
          <w:sz w:val="32"/>
          <w:szCs w:val="32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第四方面为擦亮“绍兴建筑”品牌，支持企业做优做强。第一条提出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加快向现代企业转型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，鼓励民营建筑业企业进行股份制改造和混合所有制改革，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对出险的特级（综合资质）企业可开展相关试点。</w:t>
      </w: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第二条提出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做强龙头骨干企业，不断扶持企业做大做优做强，发挥专业优势带动专业领域发展，培育一批发展潜力较好的企业，大力发展建筑业总部经济，吸引市外优质建筑业企业来绍设立总部或区域中心。</w:t>
      </w: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第三条提出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强工程领域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转型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拓展，贯彻建筑业企业资质新标准，鼓励特级企业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参与轨道交通、机场设施、高速公路等大型基建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，支持传统房建企业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向市政、交通、水利等领域拓展；鼓励中小企业专业化发展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第四条提出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中小企业发展，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持专业承包企业走“专精特新”道路，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明确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400万以下的政府采购工程项目，适宜由中小企业提供的，应当专门面向中小企业采购。</w:t>
      </w: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五是提出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支持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质量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创优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，政府投资项目带头工程创优，明确创</w:t>
      </w:r>
      <w:r>
        <w:rPr>
          <w:rFonts w:hint="eastAsia" w:ascii="仿宋_GB2312" w:hAnsi="仿宋_GB2312" w:eastAsia="仿宋_GB2312" w:cs="仿宋_GB2312"/>
          <w:sz w:val="32"/>
          <w:szCs w:val="32"/>
        </w:rPr>
        <w:t>县级及以上优质工程数量占当年竣工项目比例不少于10%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第五方面为依托新技术、新标准，推动企业创新发展。第一条提出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推动企业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科技创新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积极推进企业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创建国家级、省级、市级技术中心，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</w:t>
      </w:r>
      <w:r>
        <w:rPr>
          <w:rFonts w:hint="eastAsia" w:ascii="仿宋_GB2312" w:hAnsi="仿宋_GB2312" w:eastAsia="仿宋_GB2312" w:cs="仿宋_GB2312"/>
          <w:sz w:val="32"/>
          <w:szCs w:val="32"/>
        </w:rPr>
        <w:t>研发投入支持力度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第二条提出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强化工程造价和标准管理创新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建立工程造价动态管理机制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健全价格信息预警机制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健全工程造价多元纠纷解决机制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技术标准和计价规则研究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tabs>
          <w:tab w:val="left" w:pos="1130"/>
        </w:tabs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第六方面为加大引进培育力度，构建现代产业人才队伍。第一条提出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加快高级管理人才引育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，积极培育引进建筑业企业新生代企业家和高技术管理人才。</w:t>
      </w: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第二条提出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加快向现代产业工人转型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加大对装配式建筑（装配化装修）等建筑工人培训，大力推行企业新型学徒制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建立建筑职业（工种）人工成本信息发布机制，引导企业将薪酬与技能等级挂钩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第三条提出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加快产业工人培训基地建设，鼓励建筑业企业、高职院校和社会培训机构积极建设产业工人培训基地，培养一批综合素质高、专业能力强的产业工人队伍。</w:t>
      </w:r>
    </w:p>
    <w:p>
      <w:pPr>
        <w:tabs>
          <w:tab w:val="left" w:pos="1399"/>
        </w:tabs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第七方面为深入实施质量安全标准化，推进建筑业安全发展。第一条提出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加快工程质量责任标准化，严格落实建设单位工程质量安全首要责任，完善质量责任溯源制度和工程质量缺陷责任保险制度，健全工程质量安全信用评价机制。</w:t>
      </w: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第二条提出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加快风险防控标准化，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推进以行为规范化、管理程序化、场容场貌秩序化和防护定型化为主要内容的安全标准化建设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深入实施建筑施工风险分级管控和隐患排查治理双重预防体系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全面推行安全生产责任保险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第三条提出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加快整体智治标准化，深入实施质量安全管理智慧化、信息化、标准化工程，大力推广应用“物联网+互联网”技术和智能化设施设备。</w:t>
      </w:r>
    </w:p>
    <w:p>
      <w:pPr>
        <w:tabs>
          <w:tab w:val="left" w:pos="1399"/>
        </w:tabs>
        <w:bidi w:val="0"/>
        <w:ind w:firstLine="640" w:firstLineChars="200"/>
        <w:jc w:val="left"/>
        <w:rPr>
          <w:rFonts w:hint="eastAsia" w:ascii="楷体_GB2312" w:hAnsi="黑体" w:eastAsia="仿宋_GB2312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第八方面为实施“走出去”战略，帮助企业拓展市场。第一条提出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积极开拓市外市场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，深入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实施“走出去”战略，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加强与长三角地区优势建筑业企业合作，推动长三角一体化，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积极拓展“珠三角”“成渝”都市圈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第二条提出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减轻企业负担，在农名工工资保证金和政府投资项目保证金上全面推行工程保函，大力提高其他投资项目工程保函覆盖率，扎实推进施工过程结算，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政府投资项目进度款支付比例由8</w:t>
      </w:r>
      <w:r>
        <w:rPr>
          <w:rFonts w:ascii="Times New Roman" w:hAnsi="Times New Roman" w:eastAsia="仿宋_GB2312" w:cs="仿宋_GB2312"/>
          <w:color w:val="auto"/>
          <w:sz w:val="32"/>
          <w:szCs w:val="32"/>
          <w:highlight w:val="none"/>
        </w:rPr>
        <w:t>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%提高到8</w:t>
      </w:r>
      <w:r>
        <w:rPr>
          <w:rFonts w:ascii="Times New Roman" w:hAnsi="Times New Roman" w:eastAsia="仿宋_GB2312" w:cs="仿宋_GB2312"/>
          <w:color w:val="auto"/>
          <w:sz w:val="32"/>
          <w:szCs w:val="32"/>
          <w:highlight w:val="none"/>
        </w:rPr>
        <w:t>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%，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明确工程款和人工费支付相关要求。</w:t>
      </w: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第三条提出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健全风险防范机制，加强农民工工资专用账户管理，健全人工费动态调整机制和主材价格涨跌风险分担机制。</w:t>
      </w: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第四条提出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</w:rPr>
        <w:t>规范房建领域资金使用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强化对房建领域投标报价、合同管理、债券债务的检查及监管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，规范对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商品房预售资金监管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保障房地产项目建设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第五条提出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加强金融支持力度，鼓励设立建筑业专项转贷资金，防范资金借贷风险，减轻企业转贷负担，鼓励金融机构为建筑业企业提供特色贷款、应收账款质押以及发行债券融资等金融服务。</w:t>
      </w:r>
      <w:r>
        <w:rPr>
          <w:rFonts w:hint="eastAsia" w:ascii="楷体_GB2312" w:hAnsi="黑体" w:eastAsia="楷体_GB2312" w:cs="黑体"/>
          <w:bCs/>
          <w:kern w:val="0"/>
          <w:sz w:val="32"/>
          <w:szCs w:val="32"/>
          <w:lang w:val="en-US" w:eastAsia="zh-CN" w:bidi="ar-SA"/>
        </w:rPr>
        <w:t>第六条提出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</w:rPr>
        <w:t>加大税收支持力度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对建筑业企业增值税留抵税额，按规定予以退还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，对企业职工教育经费、高层次人才引育等按相关税收政策给予支持。</w:t>
      </w:r>
    </w:p>
    <w:p>
      <w:pPr>
        <w:pStyle w:val="5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楷体_GB2312" w:hAnsi="黑体" w:eastAsia="楷体_GB2312" w:cs="黑体"/>
          <w:bCs/>
          <w:sz w:val="32"/>
          <w:szCs w:val="32"/>
          <w:lang w:eastAsia="zh-CN"/>
        </w:rPr>
      </w:pPr>
      <w:r>
        <w:rPr>
          <w:rFonts w:hint="eastAsia" w:ascii="楷体_GB2312" w:hAnsi="黑体" w:eastAsia="楷体_GB2312" w:cs="黑体"/>
          <w:bCs/>
          <w:sz w:val="32"/>
          <w:szCs w:val="32"/>
        </w:rPr>
        <w:t>（</w:t>
      </w:r>
      <w:r>
        <w:rPr>
          <w:rFonts w:hint="eastAsia" w:ascii="楷体_GB2312" w:hAnsi="黑体" w:eastAsia="楷体_GB2312" w:cs="黑体"/>
          <w:bCs/>
          <w:sz w:val="32"/>
          <w:szCs w:val="32"/>
          <w:lang w:eastAsia="zh-CN"/>
        </w:rPr>
        <w:t>二</w:t>
      </w:r>
      <w:r>
        <w:rPr>
          <w:rFonts w:hint="eastAsia" w:ascii="楷体_GB2312" w:hAnsi="黑体" w:eastAsia="楷体_GB2312" w:cs="黑体"/>
          <w:bCs/>
          <w:sz w:val="32"/>
          <w:szCs w:val="32"/>
        </w:rPr>
        <w:t>）</w:t>
      </w:r>
      <w:r>
        <w:rPr>
          <w:rFonts w:hint="eastAsia" w:ascii="楷体_GB2312" w:hAnsi="黑体" w:eastAsia="楷体_GB2312" w:cs="黑体"/>
          <w:bCs/>
          <w:sz w:val="32"/>
          <w:szCs w:val="32"/>
          <w:lang w:eastAsia="zh-CN"/>
        </w:rPr>
        <w:t>适用期限</w:t>
      </w:r>
    </w:p>
    <w:p>
      <w:pPr>
        <w:tabs>
          <w:tab w:val="left" w:pos="1399"/>
        </w:tabs>
        <w:bidi w:val="0"/>
        <w:ind w:firstLine="640" w:firstLineChars="200"/>
        <w:jc w:val="left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本实施意见自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日起施行，有效期至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2025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日。</w:t>
      </w:r>
    </w:p>
    <w:p>
      <w:pPr>
        <w:pStyle w:val="5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560" w:lineRule="exact"/>
        <w:ind w:left="0" w:leftChars="0" w:right="0" w:rightChars="0" w:firstLine="640"/>
        <w:textAlignment w:val="auto"/>
        <w:outlineLvl w:val="9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三、解读机关、解读人</w:t>
      </w: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解读机关：绍兴市住房和城乡建设局</w:t>
      </w: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解 读 人：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毛红卫、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杨洋</w:t>
      </w: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联系方式：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85222079</w:t>
      </w:r>
    </w:p>
    <w:sectPr>
      <w:pgSz w:w="11906" w:h="16838"/>
      <w:pgMar w:top="2268" w:right="1247" w:bottom="1701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F49AD"/>
    <w:rsid w:val="170E0470"/>
    <w:rsid w:val="225F49AD"/>
    <w:rsid w:val="2AD35220"/>
    <w:rsid w:val="2F873CFE"/>
    <w:rsid w:val="324B100D"/>
    <w:rsid w:val="358403EF"/>
    <w:rsid w:val="37F66099"/>
    <w:rsid w:val="3E3F2CEA"/>
    <w:rsid w:val="4B2045E2"/>
    <w:rsid w:val="579E76CC"/>
    <w:rsid w:val="5C091669"/>
    <w:rsid w:val="60546743"/>
    <w:rsid w:val="643E3FD1"/>
    <w:rsid w:val="68895753"/>
    <w:rsid w:val="74FF4444"/>
    <w:rsid w:val="FBFEFD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宋体" w:hAnsi="Courier New" w:eastAsia="Times New Roman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Body Text Indent 2_bb4d1f65-70a2-4f69-8af3-194d898dc300"/>
    <w:basedOn w:val="1"/>
    <w:qFormat/>
    <w:uiPriority w:val="99"/>
    <w:pPr>
      <w:spacing w:after="120" w:line="480" w:lineRule="auto"/>
      <w:ind w:left="200" w:left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2021-09-01T15:16:00Z</dcterms:created>
  <dc:creator>Marry  mare</dc:creator>
  <cp:lastModifiedBy>user</cp:lastModifiedBy>
  <dcterms:modified xsi:type="dcterms:W3CDTF">2022-09-14T11:38:05Z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5AB9113BB71A4B7BBB6BAC39B5E71939</vt:lpwstr>
  </property>
</Properties>
</file>